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E7F43" w14:textId="77777777" w:rsidR="00665455" w:rsidRPr="006B11BA" w:rsidRDefault="00665455" w:rsidP="006B11BA">
      <w:pPr>
        <w:pStyle w:val="Sinespaciado"/>
        <w:spacing w:before="120" w:after="120" w:line="360" w:lineRule="auto"/>
        <w:jc w:val="center"/>
        <w:rPr>
          <w:rFonts w:ascii="Arial" w:hAnsi="Arial" w:cs="Arial"/>
          <w:b/>
          <w:bCs/>
        </w:rPr>
      </w:pPr>
    </w:p>
    <w:p w14:paraId="1BC8959F" w14:textId="77777777" w:rsidR="00665455" w:rsidRPr="006B11BA" w:rsidRDefault="00665455" w:rsidP="006B11BA">
      <w:pPr>
        <w:pStyle w:val="Sinespaciado"/>
        <w:spacing w:before="120" w:after="120" w:line="360" w:lineRule="auto"/>
        <w:jc w:val="center"/>
        <w:rPr>
          <w:rFonts w:ascii="Arial" w:hAnsi="Arial" w:cs="Arial"/>
          <w:b/>
          <w:bCs/>
        </w:rPr>
      </w:pPr>
    </w:p>
    <w:p w14:paraId="64A94B5B" w14:textId="77777777" w:rsidR="00922E4E" w:rsidRPr="006B11BA" w:rsidRDefault="00922E4E" w:rsidP="006B11BA">
      <w:pPr>
        <w:pStyle w:val="Sinespaciado"/>
        <w:spacing w:before="120" w:after="120" w:line="360" w:lineRule="auto"/>
        <w:jc w:val="center"/>
        <w:rPr>
          <w:rFonts w:ascii="Arial" w:hAnsi="Arial" w:cs="Arial"/>
          <w:b/>
          <w:bCs/>
        </w:rPr>
      </w:pPr>
    </w:p>
    <w:p w14:paraId="60F664E2" w14:textId="77777777" w:rsidR="00922E4E" w:rsidRPr="006B11BA" w:rsidRDefault="00922E4E" w:rsidP="006B11BA">
      <w:pPr>
        <w:pStyle w:val="Sinespaciado"/>
        <w:spacing w:before="120" w:after="120" w:line="360" w:lineRule="auto"/>
        <w:jc w:val="center"/>
        <w:rPr>
          <w:rFonts w:ascii="Arial" w:hAnsi="Arial" w:cs="Arial"/>
          <w:b/>
          <w:bCs/>
        </w:rPr>
      </w:pPr>
    </w:p>
    <w:p w14:paraId="0414BCB9" w14:textId="77777777" w:rsidR="00922E4E" w:rsidRDefault="00922E4E" w:rsidP="006B11BA">
      <w:pPr>
        <w:pStyle w:val="Sinespaciado"/>
        <w:spacing w:before="120" w:after="120" w:line="360" w:lineRule="auto"/>
        <w:rPr>
          <w:rFonts w:ascii="Arial" w:hAnsi="Arial" w:cs="Arial"/>
          <w:b/>
          <w:bCs/>
        </w:rPr>
      </w:pPr>
    </w:p>
    <w:p w14:paraId="62BCE49B" w14:textId="77777777" w:rsidR="009F382E" w:rsidRDefault="009F382E" w:rsidP="006B11BA">
      <w:pPr>
        <w:pStyle w:val="Sinespaciado"/>
        <w:spacing w:before="120" w:after="120" w:line="360" w:lineRule="auto"/>
        <w:rPr>
          <w:rFonts w:ascii="Arial" w:hAnsi="Arial" w:cs="Arial"/>
          <w:b/>
          <w:bCs/>
        </w:rPr>
      </w:pPr>
    </w:p>
    <w:p w14:paraId="6B35AF8A" w14:textId="77777777" w:rsidR="009F382E" w:rsidRDefault="009F382E" w:rsidP="006B11BA">
      <w:pPr>
        <w:pStyle w:val="Sinespaciado"/>
        <w:spacing w:before="120" w:after="120" w:line="360" w:lineRule="auto"/>
        <w:rPr>
          <w:rFonts w:ascii="Arial" w:hAnsi="Arial" w:cs="Arial"/>
          <w:b/>
          <w:bCs/>
        </w:rPr>
      </w:pPr>
    </w:p>
    <w:p w14:paraId="55472037" w14:textId="77777777" w:rsidR="009F382E" w:rsidRPr="006B11BA" w:rsidRDefault="009F382E" w:rsidP="006B11BA">
      <w:pPr>
        <w:pStyle w:val="Sinespaciado"/>
        <w:spacing w:before="120" w:after="120" w:line="360" w:lineRule="auto"/>
        <w:rPr>
          <w:rFonts w:ascii="Arial" w:hAnsi="Arial" w:cs="Arial"/>
          <w:b/>
          <w:bCs/>
        </w:rPr>
      </w:pPr>
    </w:p>
    <w:p w14:paraId="76950A4D" w14:textId="77777777" w:rsidR="00665455" w:rsidRPr="006B11BA" w:rsidRDefault="00665455" w:rsidP="006B11BA">
      <w:pPr>
        <w:pStyle w:val="Sinespaciado"/>
        <w:spacing w:before="120" w:after="120" w:line="360" w:lineRule="auto"/>
        <w:jc w:val="center"/>
        <w:rPr>
          <w:rFonts w:ascii="Arial" w:hAnsi="Arial" w:cs="Arial"/>
          <w:b/>
          <w:bCs/>
        </w:rPr>
      </w:pPr>
    </w:p>
    <w:p w14:paraId="26F1D3EF" w14:textId="70A99A41" w:rsidR="00665455" w:rsidRPr="000F1814" w:rsidRDefault="00201782" w:rsidP="006B11BA">
      <w:pPr>
        <w:pStyle w:val="Sinespaciado"/>
        <w:spacing w:before="120" w:after="120" w:line="360" w:lineRule="auto"/>
        <w:jc w:val="center"/>
        <w:rPr>
          <w:rFonts w:ascii="Arial" w:hAnsi="Arial" w:cs="Arial"/>
          <w:b/>
          <w:bCs/>
          <w:color w:val="002060"/>
          <w:sz w:val="36"/>
          <w:szCs w:val="36"/>
        </w:rPr>
      </w:pPr>
      <w:proofErr w:type="spellStart"/>
      <w:r>
        <w:rPr>
          <w:rFonts w:ascii="Arial" w:hAnsi="Arial"/>
          <w:b/>
          <w:color w:val="002060"/>
          <w:sz w:val="36"/>
        </w:rPr>
        <w:t>Euneiz</w:t>
      </w:r>
      <w:proofErr w:type="spellEnd"/>
      <w:r>
        <w:rPr>
          <w:rFonts w:ascii="Arial" w:hAnsi="Arial"/>
          <w:b/>
          <w:color w:val="002060"/>
          <w:sz w:val="36"/>
        </w:rPr>
        <w:t xml:space="preserve"> Unibertsitateko ikasleen ebaluazio-araudia</w:t>
      </w:r>
    </w:p>
    <w:p w14:paraId="397A34B2" w14:textId="77777777" w:rsidR="00665455" w:rsidRPr="000F1814" w:rsidRDefault="00665455" w:rsidP="006B11BA">
      <w:pPr>
        <w:pStyle w:val="Sinespaciado"/>
        <w:spacing w:before="120" w:after="120" w:line="360" w:lineRule="auto"/>
        <w:jc w:val="center"/>
        <w:rPr>
          <w:rFonts w:ascii="Arial" w:hAnsi="Arial" w:cs="Arial"/>
          <w:b/>
          <w:bCs/>
          <w:color w:val="002060"/>
        </w:rPr>
      </w:pPr>
    </w:p>
    <w:p w14:paraId="7BFBA56E" w14:textId="77777777" w:rsidR="00665455" w:rsidRPr="006B11BA" w:rsidRDefault="00665455" w:rsidP="006B11BA">
      <w:pPr>
        <w:pStyle w:val="Sinespaciado"/>
        <w:spacing w:before="120" w:after="120" w:line="360" w:lineRule="auto"/>
        <w:jc w:val="center"/>
        <w:rPr>
          <w:rFonts w:ascii="Arial" w:hAnsi="Arial" w:cs="Arial"/>
          <w:b/>
          <w:bCs/>
        </w:rPr>
      </w:pPr>
    </w:p>
    <w:p w14:paraId="0E329D10" w14:textId="77777777" w:rsidR="00665455" w:rsidRPr="006B11BA" w:rsidRDefault="00665455" w:rsidP="006B11BA">
      <w:pPr>
        <w:pStyle w:val="Sinespaciado"/>
        <w:spacing w:before="120" w:after="120" w:line="360" w:lineRule="auto"/>
        <w:jc w:val="center"/>
        <w:rPr>
          <w:rFonts w:ascii="Arial" w:hAnsi="Arial" w:cs="Arial"/>
          <w:b/>
          <w:bCs/>
        </w:rPr>
      </w:pPr>
    </w:p>
    <w:p w14:paraId="577407BB" w14:textId="77777777" w:rsidR="00665455" w:rsidRPr="006B11BA" w:rsidRDefault="00665455" w:rsidP="006B11BA">
      <w:pPr>
        <w:pStyle w:val="Sinespaciado"/>
        <w:spacing w:before="120" w:after="120" w:line="360" w:lineRule="auto"/>
        <w:jc w:val="center"/>
        <w:rPr>
          <w:rFonts w:ascii="Arial" w:hAnsi="Arial" w:cs="Arial"/>
          <w:b/>
          <w:bCs/>
        </w:rPr>
      </w:pPr>
    </w:p>
    <w:p w14:paraId="56F33C04" w14:textId="77777777" w:rsidR="000734CB" w:rsidRPr="006B11BA" w:rsidRDefault="000734CB" w:rsidP="006B11BA">
      <w:pPr>
        <w:spacing w:before="120" w:after="120" w:line="360" w:lineRule="auto"/>
        <w:jc w:val="both"/>
        <w:rPr>
          <w:rFonts w:ascii="Arial" w:hAnsi="Arial" w:cs="Arial"/>
          <w:highlight w:val="cyan"/>
        </w:rPr>
      </w:pPr>
    </w:p>
    <w:p w14:paraId="39045B85" w14:textId="77777777" w:rsidR="00403D59" w:rsidRPr="006B11BA" w:rsidRDefault="00403D59" w:rsidP="006B11BA">
      <w:pPr>
        <w:spacing w:before="120" w:after="120" w:line="360" w:lineRule="auto"/>
        <w:jc w:val="both"/>
        <w:rPr>
          <w:rFonts w:ascii="Arial" w:hAnsi="Arial" w:cs="Arial"/>
          <w:highlight w:val="cyan"/>
        </w:rPr>
      </w:pPr>
    </w:p>
    <w:p w14:paraId="409E4342" w14:textId="77777777" w:rsidR="00566B22" w:rsidRPr="006B11BA" w:rsidRDefault="00566B22" w:rsidP="006B11BA">
      <w:pPr>
        <w:spacing w:before="120" w:after="120" w:line="360" w:lineRule="auto"/>
        <w:jc w:val="both"/>
        <w:rPr>
          <w:rFonts w:ascii="Arial" w:hAnsi="Arial" w:cs="Arial"/>
          <w:highlight w:val="cyan"/>
        </w:rPr>
      </w:pPr>
    </w:p>
    <w:p w14:paraId="67B00198" w14:textId="77777777" w:rsidR="00566B22" w:rsidRPr="006B11BA" w:rsidRDefault="00566B22" w:rsidP="00A00A20">
      <w:pPr>
        <w:spacing w:before="120" w:after="120" w:line="360" w:lineRule="auto"/>
        <w:ind w:left="708"/>
        <w:jc w:val="center"/>
        <w:rPr>
          <w:rFonts w:ascii="Arial" w:hAnsi="Arial" w:cs="Arial"/>
          <w:color w:val="000000" w:themeColor="text1"/>
        </w:rPr>
      </w:pPr>
    </w:p>
    <w:p w14:paraId="6AA3A5DD" w14:textId="77777777" w:rsidR="009F382E" w:rsidRPr="006B11BA" w:rsidRDefault="009F382E" w:rsidP="00B208D7">
      <w:pPr>
        <w:spacing w:before="120" w:after="120" w:line="360" w:lineRule="auto"/>
        <w:rPr>
          <w:rFonts w:ascii="Arial" w:hAnsi="Arial" w:cs="Arial"/>
          <w:highlight w:val="cyan"/>
        </w:rPr>
      </w:pPr>
    </w:p>
    <w:p w14:paraId="531F29C9" w14:textId="77777777" w:rsidR="00566B22" w:rsidRPr="006B11BA" w:rsidRDefault="00566B22" w:rsidP="006B11BA">
      <w:pPr>
        <w:spacing w:before="120" w:after="120" w:line="360" w:lineRule="auto"/>
        <w:jc w:val="both"/>
        <w:rPr>
          <w:rFonts w:ascii="Arial" w:hAnsi="Arial" w:cs="Arial"/>
          <w:color w:val="000000" w:themeColor="text1"/>
        </w:rPr>
      </w:pPr>
    </w:p>
    <w:p w14:paraId="77FDEDA4" w14:textId="5185F2BA" w:rsidR="006B11BA" w:rsidRPr="006B11BA" w:rsidRDefault="00B208D7" w:rsidP="006B11BA">
      <w:pPr>
        <w:spacing w:before="120" w:after="120" w:line="360" w:lineRule="auto"/>
        <w:ind w:left="708"/>
        <w:jc w:val="right"/>
        <w:rPr>
          <w:rFonts w:ascii="Arial" w:hAnsi="Arial" w:cs="Arial"/>
          <w:color w:val="000000" w:themeColor="text1"/>
          <w:sz w:val="18"/>
          <w:szCs w:val="18"/>
        </w:rPr>
      </w:pPr>
      <w:r>
        <w:rPr>
          <w:rFonts w:ascii="Arial" w:hAnsi="Arial"/>
          <w:color w:val="000000" w:themeColor="text1"/>
          <w:sz w:val="18"/>
        </w:rPr>
        <w:t>Kontseilu Akademikoak egina eta proposatua 2025eko maiatzaren 8an</w:t>
      </w:r>
    </w:p>
    <w:p w14:paraId="6392A7C2" w14:textId="166ACCC6" w:rsidR="006B11BA" w:rsidRPr="006B11BA" w:rsidRDefault="00B208D7" w:rsidP="006B11BA">
      <w:pPr>
        <w:spacing w:before="120" w:after="120" w:line="360" w:lineRule="auto"/>
        <w:ind w:left="708"/>
        <w:jc w:val="right"/>
        <w:rPr>
          <w:rFonts w:ascii="Arial" w:hAnsi="Arial" w:cs="Arial"/>
          <w:color w:val="000000" w:themeColor="text1"/>
          <w:sz w:val="18"/>
          <w:szCs w:val="18"/>
        </w:rPr>
      </w:pPr>
      <w:r>
        <w:rPr>
          <w:rFonts w:ascii="Arial" w:hAnsi="Arial"/>
          <w:color w:val="000000" w:themeColor="text1"/>
          <w:sz w:val="18"/>
        </w:rPr>
        <w:t xml:space="preserve">Zuzendaritza </w:t>
      </w:r>
      <w:r w:rsidR="0005112B">
        <w:rPr>
          <w:rFonts w:ascii="Arial" w:hAnsi="Arial"/>
          <w:color w:val="000000" w:themeColor="text1"/>
          <w:sz w:val="18"/>
        </w:rPr>
        <w:t>Batzordea</w:t>
      </w:r>
      <w:r>
        <w:rPr>
          <w:rFonts w:ascii="Arial" w:hAnsi="Arial"/>
          <w:color w:val="000000" w:themeColor="text1"/>
          <w:sz w:val="18"/>
        </w:rPr>
        <w:t xml:space="preserve"> 2025eko maiatzaren 29an onartuak</w:t>
      </w:r>
    </w:p>
    <w:p w14:paraId="584B0677" w14:textId="77777777" w:rsidR="00566B22" w:rsidRPr="006B11BA" w:rsidRDefault="00566B22" w:rsidP="006B11BA">
      <w:pPr>
        <w:spacing w:before="120" w:after="120" w:line="360" w:lineRule="auto"/>
        <w:jc w:val="right"/>
        <w:rPr>
          <w:rFonts w:ascii="Arial" w:hAnsi="Arial" w:cs="Arial"/>
          <w:highlight w:val="cyan"/>
        </w:rPr>
      </w:pPr>
    </w:p>
    <w:p w14:paraId="35A302FD" w14:textId="635F60BF" w:rsidR="00403D59" w:rsidRPr="006B11BA" w:rsidRDefault="00403D59" w:rsidP="006B11BA">
      <w:pPr>
        <w:spacing w:before="120" w:after="120" w:line="360" w:lineRule="auto"/>
        <w:rPr>
          <w:rFonts w:ascii="Arial" w:hAnsi="Arial" w:cs="Arial"/>
          <w:b/>
        </w:rPr>
      </w:pPr>
      <w:r>
        <w:br w:type="page"/>
      </w:r>
    </w:p>
    <w:p w14:paraId="2758550F" w14:textId="159F2EE4" w:rsidR="006B11BA" w:rsidRPr="00B84538" w:rsidRDefault="009F382E" w:rsidP="006B11BA">
      <w:pPr>
        <w:spacing w:before="120" w:after="120" w:line="360" w:lineRule="auto"/>
        <w:jc w:val="both"/>
        <w:rPr>
          <w:rFonts w:ascii="Arial" w:hAnsi="Arial" w:cs="Arial"/>
          <w:b/>
          <w:bCs/>
          <w:color w:val="002060"/>
          <w:sz w:val="24"/>
          <w:szCs w:val="24"/>
        </w:rPr>
      </w:pPr>
      <w:r>
        <w:rPr>
          <w:rFonts w:ascii="Arial" w:hAnsi="Arial"/>
          <w:b/>
          <w:color w:val="002060"/>
          <w:sz w:val="24"/>
        </w:rPr>
        <w:lastRenderedPageBreak/>
        <w:t>Aurkibidea</w:t>
      </w:r>
    </w:p>
    <w:bookmarkStart w:id="0" w:name="_GoBack"/>
    <w:bookmarkEnd w:id="0"/>
    <w:p w14:paraId="1C05B6FF" w14:textId="2937D66C" w:rsidR="00882BA2" w:rsidRDefault="0014612B">
      <w:pPr>
        <w:pStyle w:val="TDC1"/>
        <w:tabs>
          <w:tab w:val="right" w:leader="dot" w:pos="8494"/>
        </w:tabs>
        <w:rPr>
          <w:rFonts w:eastAsiaTheme="minorEastAsia"/>
          <w:noProof/>
          <w:sz w:val="24"/>
          <w:szCs w:val="24"/>
          <w:lang w:val="es-ES" w:eastAsia="es-ES_tradnl"/>
        </w:rPr>
      </w:pPr>
      <w:r w:rsidRPr="0014612B">
        <w:rPr>
          <w:rFonts w:ascii="Arial" w:hAnsi="Arial" w:cs="Arial"/>
          <w:b/>
          <w:color w:val="002060"/>
        </w:rPr>
        <w:fldChar w:fldCharType="begin"/>
      </w:r>
      <w:r w:rsidRPr="0014612B">
        <w:rPr>
          <w:rFonts w:ascii="Arial" w:hAnsi="Arial" w:cs="Arial"/>
          <w:b/>
          <w:color w:val="002060"/>
        </w:rPr>
        <w:instrText xml:space="preserve"> TOC \h \z \t "Estilo1;1" </w:instrText>
      </w:r>
      <w:r w:rsidRPr="0014612B">
        <w:rPr>
          <w:rFonts w:ascii="Arial" w:hAnsi="Arial" w:cs="Arial"/>
          <w:b/>
          <w:color w:val="002060"/>
        </w:rPr>
        <w:fldChar w:fldCharType="separate"/>
      </w:r>
      <w:hyperlink w:anchor="_Toc200710049" w:history="1">
        <w:r w:rsidR="00882BA2" w:rsidRPr="008E6BDC">
          <w:rPr>
            <w:rStyle w:val="Hipervnculo"/>
            <w:noProof/>
          </w:rPr>
          <w:t>Hitzaurrea</w:t>
        </w:r>
        <w:r w:rsidR="00882BA2">
          <w:rPr>
            <w:noProof/>
            <w:webHidden/>
          </w:rPr>
          <w:tab/>
        </w:r>
        <w:r w:rsidR="00882BA2">
          <w:rPr>
            <w:noProof/>
            <w:webHidden/>
          </w:rPr>
          <w:fldChar w:fldCharType="begin"/>
        </w:r>
        <w:r w:rsidR="00882BA2">
          <w:rPr>
            <w:noProof/>
            <w:webHidden/>
          </w:rPr>
          <w:instrText xml:space="preserve"> PAGEREF _Toc200710049 \h </w:instrText>
        </w:r>
        <w:r w:rsidR="00882BA2">
          <w:rPr>
            <w:noProof/>
            <w:webHidden/>
          </w:rPr>
        </w:r>
        <w:r w:rsidR="00882BA2">
          <w:rPr>
            <w:noProof/>
            <w:webHidden/>
          </w:rPr>
          <w:fldChar w:fldCharType="separate"/>
        </w:r>
        <w:r w:rsidR="00882BA2">
          <w:rPr>
            <w:noProof/>
            <w:webHidden/>
          </w:rPr>
          <w:t>1</w:t>
        </w:r>
        <w:r w:rsidR="00882BA2">
          <w:rPr>
            <w:noProof/>
            <w:webHidden/>
          </w:rPr>
          <w:fldChar w:fldCharType="end"/>
        </w:r>
      </w:hyperlink>
    </w:p>
    <w:p w14:paraId="224A11EE" w14:textId="363B47A8" w:rsidR="00882BA2" w:rsidRDefault="00882BA2">
      <w:pPr>
        <w:pStyle w:val="TDC1"/>
        <w:tabs>
          <w:tab w:val="left" w:pos="1440"/>
          <w:tab w:val="right" w:leader="dot" w:pos="8494"/>
        </w:tabs>
        <w:rPr>
          <w:rFonts w:eastAsiaTheme="minorEastAsia"/>
          <w:noProof/>
          <w:sz w:val="24"/>
          <w:szCs w:val="24"/>
          <w:lang w:val="es-ES" w:eastAsia="es-ES_tradnl"/>
        </w:rPr>
      </w:pPr>
      <w:hyperlink w:anchor="_Toc200710050" w:history="1">
        <w:r w:rsidRPr="008E6BDC">
          <w:rPr>
            <w:rStyle w:val="Hipervnculo"/>
            <w:noProof/>
          </w:rPr>
          <w:t>Artikulua 1.</w:t>
        </w:r>
        <w:r>
          <w:rPr>
            <w:rFonts w:eastAsiaTheme="minorEastAsia"/>
            <w:noProof/>
            <w:sz w:val="24"/>
            <w:szCs w:val="24"/>
            <w:lang w:val="es-ES" w:eastAsia="es-ES_tradnl"/>
          </w:rPr>
          <w:tab/>
        </w:r>
        <w:r w:rsidRPr="008E6BDC">
          <w:rPr>
            <w:rStyle w:val="Hipervnculo"/>
            <w:noProof/>
          </w:rPr>
          <w:t>Xedea</w:t>
        </w:r>
        <w:r>
          <w:rPr>
            <w:noProof/>
            <w:webHidden/>
          </w:rPr>
          <w:tab/>
        </w:r>
        <w:r>
          <w:rPr>
            <w:noProof/>
            <w:webHidden/>
          </w:rPr>
          <w:fldChar w:fldCharType="begin"/>
        </w:r>
        <w:r>
          <w:rPr>
            <w:noProof/>
            <w:webHidden/>
          </w:rPr>
          <w:instrText xml:space="preserve"> PAGEREF _Toc200710050 \h </w:instrText>
        </w:r>
        <w:r>
          <w:rPr>
            <w:noProof/>
            <w:webHidden/>
          </w:rPr>
        </w:r>
        <w:r>
          <w:rPr>
            <w:noProof/>
            <w:webHidden/>
          </w:rPr>
          <w:fldChar w:fldCharType="separate"/>
        </w:r>
        <w:r>
          <w:rPr>
            <w:noProof/>
            <w:webHidden/>
          </w:rPr>
          <w:t>2</w:t>
        </w:r>
        <w:r>
          <w:rPr>
            <w:noProof/>
            <w:webHidden/>
          </w:rPr>
          <w:fldChar w:fldCharType="end"/>
        </w:r>
      </w:hyperlink>
    </w:p>
    <w:p w14:paraId="0E9EA145" w14:textId="355768CC" w:rsidR="00882BA2" w:rsidRDefault="00882BA2">
      <w:pPr>
        <w:pStyle w:val="TDC1"/>
        <w:tabs>
          <w:tab w:val="left" w:pos="1440"/>
          <w:tab w:val="right" w:leader="dot" w:pos="8494"/>
        </w:tabs>
        <w:rPr>
          <w:rFonts w:eastAsiaTheme="minorEastAsia"/>
          <w:noProof/>
          <w:sz w:val="24"/>
          <w:szCs w:val="24"/>
          <w:lang w:val="es-ES" w:eastAsia="es-ES_tradnl"/>
        </w:rPr>
      </w:pPr>
      <w:hyperlink w:anchor="_Toc200710051" w:history="1">
        <w:r w:rsidRPr="008E6BDC">
          <w:rPr>
            <w:rStyle w:val="Hipervnculo"/>
            <w:noProof/>
          </w:rPr>
          <w:t>Artikulua 2.</w:t>
        </w:r>
        <w:r>
          <w:rPr>
            <w:rFonts w:eastAsiaTheme="minorEastAsia"/>
            <w:noProof/>
            <w:sz w:val="24"/>
            <w:szCs w:val="24"/>
            <w:lang w:val="es-ES" w:eastAsia="es-ES_tradnl"/>
          </w:rPr>
          <w:tab/>
        </w:r>
        <w:r w:rsidRPr="008E6BDC">
          <w:rPr>
            <w:rStyle w:val="Hipervnculo"/>
            <w:noProof/>
          </w:rPr>
          <w:t>Aplikazio-eremua</w:t>
        </w:r>
        <w:r>
          <w:rPr>
            <w:noProof/>
            <w:webHidden/>
          </w:rPr>
          <w:tab/>
        </w:r>
        <w:r>
          <w:rPr>
            <w:noProof/>
            <w:webHidden/>
          </w:rPr>
          <w:fldChar w:fldCharType="begin"/>
        </w:r>
        <w:r>
          <w:rPr>
            <w:noProof/>
            <w:webHidden/>
          </w:rPr>
          <w:instrText xml:space="preserve"> PAGEREF _Toc200710051 \h </w:instrText>
        </w:r>
        <w:r>
          <w:rPr>
            <w:noProof/>
            <w:webHidden/>
          </w:rPr>
        </w:r>
        <w:r>
          <w:rPr>
            <w:noProof/>
            <w:webHidden/>
          </w:rPr>
          <w:fldChar w:fldCharType="separate"/>
        </w:r>
        <w:r>
          <w:rPr>
            <w:noProof/>
            <w:webHidden/>
          </w:rPr>
          <w:t>2</w:t>
        </w:r>
        <w:r>
          <w:rPr>
            <w:noProof/>
            <w:webHidden/>
          </w:rPr>
          <w:fldChar w:fldCharType="end"/>
        </w:r>
      </w:hyperlink>
    </w:p>
    <w:p w14:paraId="769D8451" w14:textId="0E7A6C6C" w:rsidR="00882BA2" w:rsidRDefault="00882BA2">
      <w:pPr>
        <w:pStyle w:val="TDC1"/>
        <w:tabs>
          <w:tab w:val="left" w:pos="1440"/>
          <w:tab w:val="right" w:leader="dot" w:pos="8494"/>
        </w:tabs>
        <w:rPr>
          <w:rFonts w:eastAsiaTheme="minorEastAsia"/>
          <w:noProof/>
          <w:sz w:val="24"/>
          <w:szCs w:val="24"/>
          <w:lang w:val="es-ES" w:eastAsia="es-ES_tradnl"/>
        </w:rPr>
      </w:pPr>
      <w:hyperlink w:anchor="_Toc200710052" w:history="1">
        <w:r w:rsidRPr="008E6BDC">
          <w:rPr>
            <w:rStyle w:val="Hipervnculo"/>
            <w:noProof/>
          </w:rPr>
          <w:t>Artikulua 3.</w:t>
        </w:r>
        <w:r>
          <w:rPr>
            <w:rFonts w:eastAsiaTheme="minorEastAsia"/>
            <w:noProof/>
            <w:sz w:val="24"/>
            <w:szCs w:val="24"/>
            <w:lang w:val="es-ES" w:eastAsia="es-ES_tradnl"/>
          </w:rPr>
          <w:tab/>
        </w:r>
        <w:r w:rsidRPr="008E6BDC">
          <w:rPr>
            <w:rStyle w:val="Hipervnculo"/>
            <w:noProof/>
          </w:rPr>
          <w:t>Ebaluazioaren arduradunak</w:t>
        </w:r>
        <w:r>
          <w:rPr>
            <w:noProof/>
            <w:webHidden/>
          </w:rPr>
          <w:tab/>
        </w:r>
        <w:r>
          <w:rPr>
            <w:noProof/>
            <w:webHidden/>
          </w:rPr>
          <w:fldChar w:fldCharType="begin"/>
        </w:r>
        <w:r>
          <w:rPr>
            <w:noProof/>
            <w:webHidden/>
          </w:rPr>
          <w:instrText xml:space="preserve"> PAGEREF _Toc200710052 \h </w:instrText>
        </w:r>
        <w:r>
          <w:rPr>
            <w:noProof/>
            <w:webHidden/>
          </w:rPr>
        </w:r>
        <w:r>
          <w:rPr>
            <w:noProof/>
            <w:webHidden/>
          </w:rPr>
          <w:fldChar w:fldCharType="separate"/>
        </w:r>
        <w:r>
          <w:rPr>
            <w:noProof/>
            <w:webHidden/>
          </w:rPr>
          <w:t>3</w:t>
        </w:r>
        <w:r>
          <w:rPr>
            <w:noProof/>
            <w:webHidden/>
          </w:rPr>
          <w:fldChar w:fldCharType="end"/>
        </w:r>
      </w:hyperlink>
    </w:p>
    <w:p w14:paraId="13EA16BB" w14:textId="37526273" w:rsidR="00882BA2" w:rsidRDefault="00882BA2">
      <w:pPr>
        <w:pStyle w:val="TDC1"/>
        <w:tabs>
          <w:tab w:val="left" w:pos="1440"/>
          <w:tab w:val="right" w:leader="dot" w:pos="8494"/>
        </w:tabs>
        <w:rPr>
          <w:rFonts w:eastAsiaTheme="minorEastAsia"/>
          <w:noProof/>
          <w:sz w:val="24"/>
          <w:szCs w:val="24"/>
          <w:lang w:val="es-ES" w:eastAsia="es-ES_tradnl"/>
        </w:rPr>
      </w:pPr>
      <w:hyperlink w:anchor="_Toc200710053" w:history="1">
        <w:r w:rsidRPr="008E6BDC">
          <w:rPr>
            <w:rStyle w:val="Hipervnculo"/>
            <w:noProof/>
          </w:rPr>
          <w:t>Artikulua 4.</w:t>
        </w:r>
        <w:r>
          <w:rPr>
            <w:rFonts w:eastAsiaTheme="minorEastAsia"/>
            <w:noProof/>
            <w:sz w:val="24"/>
            <w:szCs w:val="24"/>
            <w:lang w:val="es-ES" w:eastAsia="es-ES_tradnl"/>
          </w:rPr>
          <w:tab/>
        </w:r>
        <w:r w:rsidRPr="008E6BDC">
          <w:rPr>
            <w:rStyle w:val="Hipervnculo"/>
            <w:noProof/>
          </w:rPr>
          <w:t>Ebaluazioaren printzipio orokorrak</w:t>
        </w:r>
        <w:r>
          <w:rPr>
            <w:noProof/>
            <w:webHidden/>
          </w:rPr>
          <w:tab/>
        </w:r>
        <w:r>
          <w:rPr>
            <w:noProof/>
            <w:webHidden/>
          </w:rPr>
          <w:fldChar w:fldCharType="begin"/>
        </w:r>
        <w:r>
          <w:rPr>
            <w:noProof/>
            <w:webHidden/>
          </w:rPr>
          <w:instrText xml:space="preserve"> PAGEREF _Toc200710053 \h </w:instrText>
        </w:r>
        <w:r>
          <w:rPr>
            <w:noProof/>
            <w:webHidden/>
          </w:rPr>
        </w:r>
        <w:r>
          <w:rPr>
            <w:noProof/>
            <w:webHidden/>
          </w:rPr>
          <w:fldChar w:fldCharType="separate"/>
        </w:r>
        <w:r>
          <w:rPr>
            <w:noProof/>
            <w:webHidden/>
          </w:rPr>
          <w:t>3</w:t>
        </w:r>
        <w:r>
          <w:rPr>
            <w:noProof/>
            <w:webHidden/>
          </w:rPr>
          <w:fldChar w:fldCharType="end"/>
        </w:r>
      </w:hyperlink>
    </w:p>
    <w:p w14:paraId="1676CECA" w14:textId="072CFC18" w:rsidR="00882BA2" w:rsidRDefault="00882BA2">
      <w:pPr>
        <w:pStyle w:val="TDC1"/>
        <w:tabs>
          <w:tab w:val="left" w:pos="1440"/>
          <w:tab w:val="right" w:leader="dot" w:pos="8494"/>
        </w:tabs>
        <w:rPr>
          <w:rFonts w:eastAsiaTheme="minorEastAsia"/>
          <w:noProof/>
          <w:sz w:val="24"/>
          <w:szCs w:val="24"/>
          <w:lang w:val="es-ES" w:eastAsia="es-ES_tradnl"/>
        </w:rPr>
      </w:pPr>
      <w:hyperlink w:anchor="_Toc200710054" w:history="1">
        <w:r w:rsidRPr="008E6BDC">
          <w:rPr>
            <w:rStyle w:val="Hipervnculo"/>
            <w:noProof/>
          </w:rPr>
          <w:t>Artikulua 5.</w:t>
        </w:r>
        <w:r>
          <w:rPr>
            <w:rFonts w:eastAsiaTheme="minorEastAsia"/>
            <w:noProof/>
            <w:sz w:val="24"/>
            <w:szCs w:val="24"/>
            <w:lang w:val="es-ES" w:eastAsia="es-ES_tradnl"/>
          </w:rPr>
          <w:tab/>
        </w:r>
        <w:r w:rsidRPr="008E6BDC">
          <w:rPr>
            <w:rStyle w:val="Hipervnculo"/>
            <w:noProof/>
          </w:rPr>
          <w:t>Informatzeko betebeharrak</w:t>
        </w:r>
        <w:r>
          <w:rPr>
            <w:noProof/>
            <w:webHidden/>
          </w:rPr>
          <w:tab/>
        </w:r>
        <w:r>
          <w:rPr>
            <w:noProof/>
            <w:webHidden/>
          </w:rPr>
          <w:fldChar w:fldCharType="begin"/>
        </w:r>
        <w:r>
          <w:rPr>
            <w:noProof/>
            <w:webHidden/>
          </w:rPr>
          <w:instrText xml:space="preserve"> PAGEREF _Toc200710054 \h </w:instrText>
        </w:r>
        <w:r>
          <w:rPr>
            <w:noProof/>
            <w:webHidden/>
          </w:rPr>
        </w:r>
        <w:r>
          <w:rPr>
            <w:noProof/>
            <w:webHidden/>
          </w:rPr>
          <w:fldChar w:fldCharType="separate"/>
        </w:r>
        <w:r>
          <w:rPr>
            <w:noProof/>
            <w:webHidden/>
          </w:rPr>
          <w:t>5</w:t>
        </w:r>
        <w:r>
          <w:rPr>
            <w:noProof/>
            <w:webHidden/>
          </w:rPr>
          <w:fldChar w:fldCharType="end"/>
        </w:r>
      </w:hyperlink>
    </w:p>
    <w:p w14:paraId="66E7E077" w14:textId="0BCF2245" w:rsidR="00882BA2" w:rsidRDefault="00882BA2">
      <w:pPr>
        <w:pStyle w:val="TDC1"/>
        <w:tabs>
          <w:tab w:val="left" w:pos="1440"/>
          <w:tab w:val="right" w:leader="dot" w:pos="8494"/>
        </w:tabs>
        <w:rPr>
          <w:rFonts w:eastAsiaTheme="minorEastAsia"/>
          <w:noProof/>
          <w:sz w:val="24"/>
          <w:szCs w:val="24"/>
          <w:lang w:val="es-ES" w:eastAsia="es-ES_tradnl"/>
        </w:rPr>
      </w:pPr>
      <w:hyperlink w:anchor="_Toc200710055" w:history="1">
        <w:r w:rsidRPr="008E6BDC">
          <w:rPr>
            <w:rStyle w:val="Hipervnculo"/>
            <w:noProof/>
          </w:rPr>
          <w:t>Artikulua 6.</w:t>
        </w:r>
        <w:r>
          <w:rPr>
            <w:rFonts w:eastAsiaTheme="minorEastAsia"/>
            <w:noProof/>
            <w:sz w:val="24"/>
            <w:szCs w:val="24"/>
            <w:lang w:val="es-ES" w:eastAsia="es-ES_tradnl"/>
          </w:rPr>
          <w:tab/>
        </w:r>
        <w:r w:rsidRPr="008E6BDC">
          <w:rPr>
            <w:rStyle w:val="Hipervnculo"/>
            <w:noProof/>
          </w:rPr>
          <w:t>Ebaluazio-sistemak</w:t>
        </w:r>
        <w:r>
          <w:rPr>
            <w:noProof/>
            <w:webHidden/>
          </w:rPr>
          <w:tab/>
        </w:r>
        <w:r>
          <w:rPr>
            <w:noProof/>
            <w:webHidden/>
          </w:rPr>
          <w:fldChar w:fldCharType="begin"/>
        </w:r>
        <w:r>
          <w:rPr>
            <w:noProof/>
            <w:webHidden/>
          </w:rPr>
          <w:instrText xml:space="preserve"> PAGEREF _Toc200710055 \h </w:instrText>
        </w:r>
        <w:r>
          <w:rPr>
            <w:noProof/>
            <w:webHidden/>
          </w:rPr>
        </w:r>
        <w:r>
          <w:rPr>
            <w:noProof/>
            <w:webHidden/>
          </w:rPr>
          <w:fldChar w:fldCharType="separate"/>
        </w:r>
        <w:r>
          <w:rPr>
            <w:noProof/>
            <w:webHidden/>
          </w:rPr>
          <w:t>5</w:t>
        </w:r>
        <w:r>
          <w:rPr>
            <w:noProof/>
            <w:webHidden/>
          </w:rPr>
          <w:fldChar w:fldCharType="end"/>
        </w:r>
      </w:hyperlink>
    </w:p>
    <w:p w14:paraId="689B2133" w14:textId="5C427E91" w:rsidR="00882BA2" w:rsidRDefault="00882BA2">
      <w:pPr>
        <w:pStyle w:val="TDC1"/>
        <w:tabs>
          <w:tab w:val="left" w:pos="1440"/>
          <w:tab w:val="right" w:leader="dot" w:pos="8494"/>
        </w:tabs>
        <w:rPr>
          <w:rFonts w:eastAsiaTheme="minorEastAsia"/>
          <w:noProof/>
          <w:sz w:val="24"/>
          <w:szCs w:val="24"/>
          <w:lang w:val="es-ES" w:eastAsia="es-ES_tradnl"/>
        </w:rPr>
      </w:pPr>
      <w:hyperlink w:anchor="_Toc200710056" w:history="1">
        <w:r w:rsidRPr="008E6BDC">
          <w:rPr>
            <w:rStyle w:val="Hipervnculo"/>
            <w:noProof/>
          </w:rPr>
          <w:t>Artikulua 7.</w:t>
        </w:r>
        <w:r>
          <w:rPr>
            <w:rFonts w:eastAsiaTheme="minorEastAsia"/>
            <w:noProof/>
            <w:sz w:val="24"/>
            <w:szCs w:val="24"/>
            <w:lang w:val="es-ES" w:eastAsia="es-ES_tradnl"/>
          </w:rPr>
          <w:tab/>
        </w:r>
        <w:r w:rsidRPr="008E6BDC">
          <w:rPr>
            <w:rStyle w:val="Hipervnculo"/>
            <w:noProof/>
          </w:rPr>
          <w:t>Ohiko eta ezohiko deialdiak</w:t>
        </w:r>
        <w:r>
          <w:rPr>
            <w:noProof/>
            <w:webHidden/>
          </w:rPr>
          <w:tab/>
        </w:r>
        <w:r>
          <w:rPr>
            <w:noProof/>
            <w:webHidden/>
          </w:rPr>
          <w:fldChar w:fldCharType="begin"/>
        </w:r>
        <w:r>
          <w:rPr>
            <w:noProof/>
            <w:webHidden/>
          </w:rPr>
          <w:instrText xml:space="preserve"> PAGEREF _Toc200710056 \h </w:instrText>
        </w:r>
        <w:r>
          <w:rPr>
            <w:noProof/>
            <w:webHidden/>
          </w:rPr>
        </w:r>
        <w:r>
          <w:rPr>
            <w:noProof/>
            <w:webHidden/>
          </w:rPr>
          <w:fldChar w:fldCharType="separate"/>
        </w:r>
        <w:r>
          <w:rPr>
            <w:noProof/>
            <w:webHidden/>
          </w:rPr>
          <w:t>6</w:t>
        </w:r>
        <w:r>
          <w:rPr>
            <w:noProof/>
            <w:webHidden/>
          </w:rPr>
          <w:fldChar w:fldCharType="end"/>
        </w:r>
      </w:hyperlink>
    </w:p>
    <w:p w14:paraId="225597EB" w14:textId="17666E85" w:rsidR="00882BA2" w:rsidRDefault="00882BA2">
      <w:pPr>
        <w:pStyle w:val="TDC1"/>
        <w:tabs>
          <w:tab w:val="left" w:pos="1440"/>
          <w:tab w:val="right" w:leader="dot" w:pos="8494"/>
        </w:tabs>
        <w:rPr>
          <w:rFonts w:eastAsiaTheme="minorEastAsia"/>
          <w:noProof/>
          <w:sz w:val="24"/>
          <w:szCs w:val="24"/>
          <w:lang w:val="es-ES" w:eastAsia="es-ES_tradnl"/>
        </w:rPr>
      </w:pPr>
      <w:hyperlink w:anchor="_Toc200710057" w:history="1">
        <w:r w:rsidRPr="008E6BDC">
          <w:rPr>
            <w:rStyle w:val="Hipervnculo"/>
            <w:noProof/>
          </w:rPr>
          <w:t>Artikulua 8.</w:t>
        </w:r>
        <w:r>
          <w:rPr>
            <w:rFonts w:eastAsiaTheme="minorEastAsia"/>
            <w:noProof/>
            <w:sz w:val="24"/>
            <w:szCs w:val="24"/>
            <w:lang w:val="es-ES" w:eastAsia="es-ES_tradnl"/>
          </w:rPr>
          <w:tab/>
        </w:r>
        <w:r w:rsidRPr="008E6BDC">
          <w:rPr>
            <w:rStyle w:val="Hipervnculo"/>
            <w:noProof/>
          </w:rPr>
          <w:t>Azterketen egutegia</w:t>
        </w:r>
        <w:r>
          <w:rPr>
            <w:noProof/>
            <w:webHidden/>
          </w:rPr>
          <w:tab/>
        </w:r>
        <w:r>
          <w:rPr>
            <w:noProof/>
            <w:webHidden/>
          </w:rPr>
          <w:fldChar w:fldCharType="begin"/>
        </w:r>
        <w:r>
          <w:rPr>
            <w:noProof/>
            <w:webHidden/>
          </w:rPr>
          <w:instrText xml:space="preserve"> PAGEREF _Toc200710057 \h </w:instrText>
        </w:r>
        <w:r>
          <w:rPr>
            <w:noProof/>
            <w:webHidden/>
          </w:rPr>
        </w:r>
        <w:r>
          <w:rPr>
            <w:noProof/>
            <w:webHidden/>
          </w:rPr>
          <w:fldChar w:fldCharType="separate"/>
        </w:r>
        <w:r>
          <w:rPr>
            <w:noProof/>
            <w:webHidden/>
          </w:rPr>
          <w:t>6</w:t>
        </w:r>
        <w:r>
          <w:rPr>
            <w:noProof/>
            <w:webHidden/>
          </w:rPr>
          <w:fldChar w:fldCharType="end"/>
        </w:r>
      </w:hyperlink>
    </w:p>
    <w:p w14:paraId="48B1C58C" w14:textId="512049E5" w:rsidR="00882BA2" w:rsidRDefault="00882BA2">
      <w:pPr>
        <w:pStyle w:val="TDC1"/>
        <w:tabs>
          <w:tab w:val="left" w:pos="1440"/>
          <w:tab w:val="right" w:leader="dot" w:pos="8494"/>
        </w:tabs>
        <w:rPr>
          <w:rFonts w:eastAsiaTheme="minorEastAsia"/>
          <w:noProof/>
          <w:sz w:val="24"/>
          <w:szCs w:val="24"/>
          <w:lang w:val="es-ES" w:eastAsia="es-ES_tradnl"/>
        </w:rPr>
      </w:pPr>
      <w:hyperlink w:anchor="_Toc200710058" w:history="1">
        <w:r w:rsidRPr="008E6BDC">
          <w:rPr>
            <w:rStyle w:val="Hipervnculo"/>
            <w:noProof/>
          </w:rPr>
          <w:t>Artikulua 9.</w:t>
        </w:r>
        <w:r>
          <w:rPr>
            <w:rFonts w:eastAsiaTheme="minorEastAsia"/>
            <w:noProof/>
            <w:sz w:val="24"/>
            <w:szCs w:val="24"/>
            <w:lang w:val="es-ES" w:eastAsia="es-ES_tradnl"/>
          </w:rPr>
          <w:tab/>
        </w:r>
        <w:r w:rsidRPr="008E6BDC">
          <w:rPr>
            <w:rStyle w:val="Hipervnculo"/>
            <w:noProof/>
          </w:rPr>
          <w:t>Ebaluazio-data aldatzea</w:t>
        </w:r>
        <w:r>
          <w:rPr>
            <w:noProof/>
            <w:webHidden/>
          </w:rPr>
          <w:tab/>
        </w:r>
        <w:r>
          <w:rPr>
            <w:noProof/>
            <w:webHidden/>
          </w:rPr>
          <w:fldChar w:fldCharType="begin"/>
        </w:r>
        <w:r>
          <w:rPr>
            <w:noProof/>
            <w:webHidden/>
          </w:rPr>
          <w:instrText xml:space="preserve"> PAGEREF _Toc200710058 \h </w:instrText>
        </w:r>
        <w:r>
          <w:rPr>
            <w:noProof/>
            <w:webHidden/>
          </w:rPr>
        </w:r>
        <w:r>
          <w:rPr>
            <w:noProof/>
            <w:webHidden/>
          </w:rPr>
          <w:fldChar w:fldCharType="separate"/>
        </w:r>
        <w:r>
          <w:rPr>
            <w:noProof/>
            <w:webHidden/>
          </w:rPr>
          <w:t>7</w:t>
        </w:r>
        <w:r>
          <w:rPr>
            <w:noProof/>
            <w:webHidden/>
          </w:rPr>
          <w:fldChar w:fldCharType="end"/>
        </w:r>
      </w:hyperlink>
    </w:p>
    <w:p w14:paraId="66F46805" w14:textId="55A5DF89" w:rsidR="00882BA2" w:rsidRDefault="00882BA2">
      <w:pPr>
        <w:pStyle w:val="TDC1"/>
        <w:tabs>
          <w:tab w:val="left" w:pos="1440"/>
          <w:tab w:val="right" w:leader="dot" w:pos="8494"/>
        </w:tabs>
        <w:rPr>
          <w:rFonts w:eastAsiaTheme="minorEastAsia"/>
          <w:noProof/>
          <w:sz w:val="24"/>
          <w:szCs w:val="24"/>
          <w:lang w:val="es-ES" w:eastAsia="es-ES_tradnl"/>
        </w:rPr>
      </w:pPr>
      <w:hyperlink w:anchor="_Toc200710059" w:history="1">
        <w:r w:rsidRPr="008E6BDC">
          <w:rPr>
            <w:rStyle w:val="Hipervnculo"/>
            <w:noProof/>
          </w:rPr>
          <w:t>Artikulua 10.</w:t>
        </w:r>
        <w:r>
          <w:rPr>
            <w:rFonts w:eastAsiaTheme="minorEastAsia"/>
            <w:noProof/>
            <w:sz w:val="24"/>
            <w:szCs w:val="24"/>
            <w:lang w:val="es-ES" w:eastAsia="es-ES_tradnl"/>
          </w:rPr>
          <w:tab/>
        </w:r>
        <w:r w:rsidRPr="008E6BDC">
          <w:rPr>
            <w:rStyle w:val="Hipervnculo"/>
            <w:noProof/>
          </w:rPr>
          <w:t>Azterketak zaintzea</w:t>
        </w:r>
        <w:r>
          <w:rPr>
            <w:noProof/>
            <w:webHidden/>
          </w:rPr>
          <w:tab/>
        </w:r>
        <w:r>
          <w:rPr>
            <w:noProof/>
            <w:webHidden/>
          </w:rPr>
          <w:fldChar w:fldCharType="begin"/>
        </w:r>
        <w:r>
          <w:rPr>
            <w:noProof/>
            <w:webHidden/>
          </w:rPr>
          <w:instrText xml:space="preserve"> PAGEREF _Toc200710059 \h </w:instrText>
        </w:r>
        <w:r>
          <w:rPr>
            <w:noProof/>
            <w:webHidden/>
          </w:rPr>
        </w:r>
        <w:r>
          <w:rPr>
            <w:noProof/>
            <w:webHidden/>
          </w:rPr>
          <w:fldChar w:fldCharType="separate"/>
        </w:r>
        <w:r>
          <w:rPr>
            <w:noProof/>
            <w:webHidden/>
          </w:rPr>
          <w:t>8</w:t>
        </w:r>
        <w:r>
          <w:rPr>
            <w:noProof/>
            <w:webHidden/>
          </w:rPr>
          <w:fldChar w:fldCharType="end"/>
        </w:r>
      </w:hyperlink>
    </w:p>
    <w:p w14:paraId="494771B1" w14:textId="41B84593" w:rsidR="00882BA2" w:rsidRDefault="00882BA2">
      <w:pPr>
        <w:pStyle w:val="TDC1"/>
        <w:tabs>
          <w:tab w:val="left" w:pos="1440"/>
          <w:tab w:val="right" w:leader="dot" w:pos="8494"/>
        </w:tabs>
        <w:rPr>
          <w:rFonts w:eastAsiaTheme="minorEastAsia"/>
          <w:noProof/>
          <w:sz w:val="24"/>
          <w:szCs w:val="24"/>
          <w:lang w:val="es-ES" w:eastAsia="es-ES_tradnl"/>
        </w:rPr>
      </w:pPr>
      <w:hyperlink w:anchor="_Toc200710060" w:history="1">
        <w:r w:rsidRPr="008E6BDC">
          <w:rPr>
            <w:rStyle w:val="Hipervnculo"/>
            <w:noProof/>
          </w:rPr>
          <w:t>Artikulua 11.</w:t>
        </w:r>
        <w:r>
          <w:rPr>
            <w:rFonts w:eastAsiaTheme="minorEastAsia"/>
            <w:noProof/>
            <w:sz w:val="24"/>
            <w:szCs w:val="24"/>
            <w:lang w:val="es-ES" w:eastAsia="es-ES_tradnl"/>
          </w:rPr>
          <w:tab/>
        </w:r>
        <w:r w:rsidRPr="008E6BDC">
          <w:rPr>
            <w:rStyle w:val="Hipervnculo"/>
            <w:noProof/>
          </w:rPr>
          <w:t>Ebaluazio-proben plangintza eta garapena</w:t>
        </w:r>
        <w:r>
          <w:rPr>
            <w:noProof/>
            <w:webHidden/>
          </w:rPr>
          <w:tab/>
        </w:r>
        <w:r>
          <w:rPr>
            <w:noProof/>
            <w:webHidden/>
          </w:rPr>
          <w:fldChar w:fldCharType="begin"/>
        </w:r>
        <w:r>
          <w:rPr>
            <w:noProof/>
            <w:webHidden/>
          </w:rPr>
          <w:instrText xml:space="preserve"> PAGEREF _Toc200710060 \h </w:instrText>
        </w:r>
        <w:r>
          <w:rPr>
            <w:noProof/>
            <w:webHidden/>
          </w:rPr>
        </w:r>
        <w:r>
          <w:rPr>
            <w:noProof/>
            <w:webHidden/>
          </w:rPr>
          <w:fldChar w:fldCharType="separate"/>
        </w:r>
        <w:r>
          <w:rPr>
            <w:noProof/>
            <w:webHidden/>
          </w:rPr>
          <w:t>8</w:t>
        </w:r>
        <w:r>
          <w:rPr>
            <w:noProof/>
            <w:webHidden/>
          </w:rPr>
          <w:fldChar w:fldCharType="end"/>
        </w:r>
      </w:hyperlink>
    </w:p>
    <w:p w14:paraId="54E16007" w14:textId="293A4F18" w:rsidR="00882BA2" w:rsidRDefault="00882BA2">
      <w:pPr>
        <w:pStyle w:val="TDC1"/>
        <w:tabs>
          <w:tab w:val="left" w:pos="1440"/>
          <w:tab w:val="right" w:leader="dot" w:pos="8494"/>
        </w:tabs>
        <w:rPr>
          <w:rFonts w:eastAsiaTheme="minorEastAsia"/>
          <w:noProof/>
          <w:sz w:val="24"/>
          <w:szCs w:val="24"/>
          <w:lang w:val="es-ES" w:eastAsia="es-ES_tradnl"/>
        </w:rPr>
      </w:pPr>
      <w:hyperlink w:anchor="_Toc200710061" w:history="1">
        <w:r w:rsidRPr="008E6BDC">
          <w:rPr>
            <w:rStyle w:val="Hipervnculo"/>
            <w:noProof/>
          </w:rPr>
          <w:t>Artikulua 12.</w:t>
        </w:r>
        <w:r>
          <w:rPr>
            <w:rFonts w:eastAsiaTheme="minorEastAsia"/>
            <w:noProof/>
            <w:sz w:val="24"/>
            <w:szCs w:val="24"/>
            <w:lang w:val="es-ES" w:eastAsia="es-ES_tradnl"/>
          </w:rPr>
          <w:tab/>
        </w:r>
        <w:r w:rsidRPr="008E6BDC">
          <w:rPr>
            <w:rStyle w:val="Hipervnculo"/>
            <w:noProof/>
          </w:rPr>
          <w:t>Kalifikazioak eta aktak</w:t>
        </w:r>
        <w:r>
          <w:rPr>
            <w:noProof/>
            <w:webHidden/>
          </w:rPr>
          <w:tab/>
        </w:r>
        <w:r>
          <w:rPr>
            <w:noProof/>
            <w:webHidden/>
          </w:rPr>
          <w:fldChar w:fldCharType="begin"/>
        </w:r>
        <w:r>
          <w:rPr>
            <w:noProof/>
            <w:webHidden/>
          </w:rPr>
          <w:instrText xml:space="preserve"> PAGEREF _Toc200710061 \h </w:instrText>
        </w:r>
        <w:r>
          <w:rPr>
            <w:noProof/>
            <w:webHidden/>
          </w:rPr>
        </w:r>
        <w:r>
          <w:rPr>
            <w:noProof/>
            <w:webHidden/>
          </w:rPr>
          <w:fldChar w:fldCharType="separate"/>
        </w:r>
        <w:r>
          <w:rPr>
            <w:noProof/>
            <w:webHidden/>
          </w:rPr>
          <w:t>9</w:t>
        </w:r>
        <w:r>
          <w:rPr>
            <w:noProof/>
            <w:webHidden/>
          </w:rPr>
          <w:fldChar w:fldCharType="end"/>
        </w:r>
      </w:hyperlink>
    </w:p>
    <w:p w14:paraId="652DC661" w14:textId="1537D1F8" w:rsidR="00882BA2" w:rsidRDefault="00882BA2">
      <w:pPr>
        <w:pStyle w:val="TDC1"/>
        <w:tabs>
          <w:tab w:val="left" w:pos="1440"/>
          <w:tab w:val="right" w:leader="dot" w:pos="8494"/>
        </w:tabs>
        <w:rPr>
          <w:rFonts w:eastAsiaTheme="minorEastAsia"/>
          <w:noProof/>
          <w:sz w:val="24"/>
          <w:szCs w:val="24"/>
          <w:lang w:val="es-ES" w:eastAsia="es-ES_tradnl"/>
        </w:rPr>
      </w:pPr>
      <w:hyperlink w:anchor="_Toc200710062" w:history="1">
        <w:r w:rsidRPr="008E6BDC">
          <w:rPr>
            <w:rStyle w:val="Hipervnculo"/>
            <w:noProof/>
          </w:rPr>
          <w:t>Artikulua 13.</w:t>
        </w:r>
        <w:r>
          <w:rPr>
            <w:rFonts w:eastAsiaTheme="minorEastAsia"/>
            <w:noProof/>
            <w:sz w:val="24"/>
            <w:szCs w:val="24"/>
            <w:lang w:val="es-ES" w:eastAsia="es-ES_tradnl"/>
          </w:rPr>
          <w:tab/>
        </w:r>
        <w:r w:rsidRPr="008E6BDC">
          <w:rPr>
            <w:rStyle w:val="Hipervnculo"/>
            <w:noProof/>
          </w:rPr>
          <w:t>Behin-behineko kalifikazioak eta haien berrikuspena</w:t>
        </w:r>
        <w:r>
          <w:rPr>
            <w:noProof/>
            <w:webHidden/>
          </w:rPr>
          <w:tab/>
        </w:r>
        <w:r>
          <w:rPr>
            <w:noProof/>
            <w:webHidden/>
          </w:rPr>
          <w:fldChar w:fldCharType="begin"/>
        </w:r>
        <w:r>
          <w:rPr>
            <w:noProof/>
            <w:webHidden/>
          </w:rPr>
          <w:instrText xml:space="preserve"> PAGEREF _Toc200710062 \h </w:instrText>
        </w:r>
        <w:r>
          <w:rPr>
            <w:noProof/>
            <w:webHidden/>
          </w:rPr>
        </w:r>
        <w:r>
          <w:rPr>
            <w:noProof/>
            <w:webHidden/>
          </w:rPr>
          <w:fldChar w:fldCharType="separate"/>
        </w:r>
        <w:r>
          <w:rPr>
            <w:noProof/>
            <w:webHidden/>
          </w:rPr>
          <w:t>10</w:t>
        </w:r>
        <w:r>
          <w:rPr>
            <w:noProof/>
            <w:webHidden/>
          </w:rPr>
          <w:fldChar w:fldCharType="end"/>
        </w:r>
      </w:hyperlink>
    </w:p>
    <w:p w14:paraId="28206F46" w14:textId="407A04B2" w:rsidR="00882BA2" w:rsidRDefault="00882BA2">
      <w:pPr>
        <w:pStyle w:val="TDC1"/>
        <w:tabs>
          <w:tab w:val="left" w:pos="1440"/>
          <w:tab w:val="right" w:leader="dot" w:pos="8494"/>
        </w:tabs>
        <w:rPr>
          <w:rFonts w:eastAsiaTheme="minorEastAsia"/>
          <w:noProof/>
          <w:sz w:val="24"/>
          <w:szCs w:val="24"/>
          <w:lang w:val="es-ES" w:eastAsia="es-ES_tradnl"/>
        </w:rPr>
      </w:pPr>
      <w:hyperlink w:anchor="_Toc200710063" w:history="1">
        <w:r w:rsidRPr="008E6BDC">
          <w:rPr>
            <w:rStyle w:val="Hipervnculo"/>
            <w:noProof/>
          </w:rPr>
          <w:t>Artikulua 14.</w:t>
        </w:r>
        <w:r>
          <w:rPr>
            <w:rFonts w:eastAsiaTheme="minorEastAsia"/>
            <w:noProof/>
            <w:sz w:val="24"/>
            <w:szCs w:val="24"/>
            <w:lang w:val="es-ES" w:eastAsia="es-ES_tradnl"/>
          </w:rPr>
          <w:tab/>
        </w:r>
        <w:r w:rsidRPr="008E6BDC">
          <w:rPr>
            <w:rStyle w:val="Hipervnculo"/>
            <w:noProof/>
          </w:rPr>
          <w:t>Behin betiko kalifikazioak</w:t>
        </w:r>
        <w:r>
          <w:rPr>
            <w:noProof/>
            <w:webHidden/>
          </w:rPr>
          <w:tab/>
        </w:r>
        <w:r>
          <w:rPr>
            <w:noProof/>
            <w:webHidden/>
          </w:rPr>
          <w:fldChar w:fldCharType="begin"/>
        </w:r>
        <w:r>
          <w:rPr>
            <w:noProof/>
            <w:webHidden/>
          </w:rPr>
          <w:instrText xml:space="preserve"> PAGEREF _Toc200710063 \h </w:instrText>
        </w:r>
        <w:r>
          <w:rPr>
            <w:noProof/>
            <w:webHidden/>
          </w:rPr>
        </w:r>
        <w:r>
          <w:rPr>
            <w:noProof/>
            <w:webHidden/>
          </w:rPr>
          <w:fldChar w:fldCharType="separate"/>
        </w:r>
        <w:r>
          <w:rPr>
            <w:noProof/>
            <w:webHidden/>
          </w:rPr>
          <w:t>11</w:t>
        </w:r>
        <w:r>
          <w:rPr>
            <w:noProof/>
            <w:webHidden/>
          </w:rPr>
          <w:fldChar w:fldCharType="end"/>
        </w:r>
      </w:hyperlink>
    </w:p>
    <w:p w14:paraId="7F59A9D1" w14:textId="4CAC951D" w:rsidR="00882BA2" w:rsidRDefault="00882BA2">
      <w:pPr>
        <w:pStyle w:val="TDC1"/>
        <w:tabs>
          <w:tab w:val="left" w:pos="1440"/>
          <w:tab w:val="right" w:leader="dot" w:pos="8494"/>
        </w:tabs>
        <w:rPr>
          <w:rFonts w:eastAsiaTheme="minorEastAsia"/>
          <w:noProof/>
          <w:sz w:val="24"/>
          <w:szCs w:val="24"/>
          <w:lang w:val="es-ES" w:eastAsia="es-ES_tradnl"/>
        </w:rPr>
      </w:pPr>
      <w:hyperlink w:anchor="_Toc200710064" w:history="1">
        <w:r w:rsidRPr="008E6BDC">
          <w:rPr>
            <w:rStyle w:val="Hipervnculo"/>
            <w:noProof/>
          </w:rPr>
          <w:t>Artikulua 15.</w:t>
        </w:r>
        <w:r>
          <w:rPr>
            <w:rFonts w:eastAsiaTheme="minorEastAsia"/>
            <w:noProof/>
            <w:sz w:val="24"/>
            <w:szCs w:val="24"/>
            <w:lang w:val="es-ES" w:eastAsia="es-ES_tradnl"/>
          </w:rPr>
          <w:tab/>
        </w:r>
        <w:r w:rsidRPr="008E6BDC">
          <w:rPr>
            <w:rStyle w:val="Hipervnculo"/>
            <w:noProof/>
          </w:rPr>
          <w:t>Aktak</w:t>
        </w:r>
        <w:r>
          <w:rPr>
            <w:noProof/>
            <w:webHidden/>
          </w:rPr>
          <w:tab/>
        </w:r>
        <w:r>
          <w:rPr>
            <w:noProof/>
            <w:webHidden/>
          </w:rPr>
          <w:fldChar w:fldCharType="begin"/>
        </w:r>
        <w:r>
          <w:rPr>
            <w:noProof/>
            <w:webHidden/>
          </w:rPr>
          <w:instrText xml:space="preserve"> PAGEREF _Toc200710064 \h </w:instrText>
        </w:r>
        <w:r>
          <w:rPr>
            <w:noProof/>
            <w:webHidden/>
          </w:rPr>
        </w:r>
        <w:r>
          <w:rPr>
            <w:noProof/>
            <w:webHidden/>
          </w:rPr>
          <w:fldChar w:fldCharType="separate"/>
        </w:r>
        <w:r>
          <w:rPr>
            <w:noProof/>
            <w:webHidden/>
          </w:rPr>
          <w:t>11</w:t>
        </w:r>
        <w:r>
          <w:rPr>
            <w:noProof/>
            <w:webHidden/>
          </w:rPr>
          <w:fldChar w:fldCharType="end"/>
        </w:r>
      </w:hyperlink>
    </w:p>
    <w:p w14:paraId="2DD4AB84" w14:textId="613BD2F5" w:rsidR="00882BA2" w:rsidRDefault="00882BA2">
      <w:pPr>
        <w:pStyle w:val="TDC1"/>
        <w:tabs>
          <w:tab w:val="left" w:pos="1440"/>
          <w:tab w:val="right" w:leader="dot" w:pos="8494"/>
        </w:tabs>
        <w:rPr>
          <w:rFonts w:eastAsiaTheme="minorEastAsia"/>
          <w:noProof/>
          <w:sz w:val="24"/>
          <w:szCs w:val="24"/>
          <w:lang w:val="es-ES" w:eastAsia="es-ES_tradnl"/>
        </w:rPr>
      </w:pPr>
      <w:hyperlink w:anchor="_Toc200710065" w:history="1">
        <w:r w:rsidRPr="008E6BDC">
          <w:rPr>
            <w:rStyle w:val="Hipervnculo"/>
            <w:noProof/>
          </w:rPr>
          <w:t>Artikulua 16.</w:t>
        </w:r>
        <w:r>
          <w:rPr>
            <w:rFonts w:eastAsiaTheme="minorEastAsia"/>
            <w:noProof/>
            <w:sz w:val="24"/>
            <w:szCs w:val="24"/>
            <w:lang w:val="es-ES" w:eastAsia="es-ES_tradnl"/>
          </w:rPr>
          <w:tab/>
        </w:r>
        <w:r w:rsidRPr="008E6BDC">
          <w:rPr>
            <w:rStyle w:val="Hipervnculo"/>
            <w:noProof/>
          </w:rPr>
          <w:t>Ebaluazio-probak gordetzea</w:t>
        </w:r>
        <w:r>
          <w:rPr>
            <w:noProof/>
            <w:webHidden/>
          </w:rPr>
          <w:tab/>
        </w:r>
        <w:r>
          <w:rPr>
            <w:noProof/>
            <w:webHidden/>
          </w:rPr>
          <w:fldChar w:fldCharType="begin"/>
        </w:r>
        <w:r>
          <w:rPr>
            <w:noProof/>
            <w:webHidden/>
          </w:rPr>
          <w:instrText xml:space="preserve"> PAGEREF _Toc200710065 \h </w:instrText>
        </w:r>
        <w:r>
          <w:rPr>
            <w:noProof/>
            <w:webHidden/>
          </w:rPr>
        </w:r>
        <w:r>
          <w:rPr>
            <w:noProof/>
            <w:webHidden/>
          </w:rPr>
          <w:fldChar w:fldCharType="separate"/>
        </w:r>
        <w:r>
          <w:rPr>
            <w:noProof/>
            <w:webHidden/>
          </w:rPr>
          <w:t>11</w:t>
        </w:r>
        <w:r>
          <w:rPr>
            <w:noProof/>
            <w:webHidden/>
          </w:rPr>
          <w:fldChar w:fldCharType="end"/>
        </w:r>
      </w:hyperlink>
    </w:p>
    <w:p w14:paraId="52C4B2B4" w14:textId="50C2603B" w:rsidR="00882BA2" w:rsidRDefault="00882BA2">
      <w:pPr>
        <w:pStyle w:val="TDC1"/>
        <w:tabs>
          <w:tab w:val="left" w:pos="1440"/>
          <w:tab w:val="right" w:leader="dot" w:pos="8494"/>
        </w:tabs>
        <w:rPr>
          <w:rFonts w:eastAsiaTheme="minorEastAsia"/>
          <w:noProof/>
          <w:sz w:val="24"/>
          <w:szCs w:val="24"/>
          <w:lang w:val="es-ES" w:eastAsia="es-ES_tradnl"/>
        </w:rPr>
      </w:pPr>
      <w:hyperlink w:anchor="_Toc200710066" w:history="1">
        <w:r w:rsidRPr="008E6BDC">
          <w:rPr>
            <w:rStyle w:val="Hipervnculo"/>
            <w:noProof/>
          </w:rPr>
          <w:t>Artikulua 17.</w:t>
        </w:r>
        <w:r>
          <w:rPr>
            <w:rFonts w:eastAsiaTheme="minorEastAsia"/>
            <w:noProof/>
            <w:sz w:val="24"/>
            <w:szCs w:val="24"/>
            <w:lang w:val="es-ES" w:eastAsia="es-ES_tradnl"/>
          </w:rPr>
          <w:tab/>
        </w:r>
        <w:r w:rsidRPr="008E6BDC">
          <w:rPr>
            <w:rStyle w:val="Hipervnculo"/>
            <w:noProof/>
          </w:rPr>
          <w:t>Kalifikazioak erreklamatzeko prozedura</w:t>
        </w:r>
        <w:r>
          <w:rPr>
            <w:noProof/>
            <w:webHidden/>
          </w:rPr>
          <w:tab/>
        </w:r>
        <w:r>
          <w:rPr>
            <w:noProof/>
            <w:webHidden/>
          </w:rPr>
          <w:fldChar w:fldCharType="begin"/>
        </w:r>
        <w:r>
          <w:rPr>
            <w:noProof/>
            <w:webHidden/>
          </w:rPr>
          <w:instrText xml:space="preserve"> PAGEREF _Toc200710066 \h </w:instrText>
        </w:r>
        <w:r>
          <w:rPr>
            <w:noProof/>
            <w:webHidden/>
          </w:rPr>
        </w:r>
        <w:r>
          <w:rPr>
            <w:noProof/>
            <w:webHidden/>
          </w:rPr>
          <w:fldChar w:fldCharType="separate"/>
        </w:r>
        <w:r>
          <w:rPr>
            <w:noProof/>
            <w:webHidden/>
          </w:rPr>
          <w:t>12</w:t>
        </w:r>
        <w:r>
          <w:rPr>
            <w:noProof/>
            <w:webHidden/>
          </w:rPr>
          <w:fldChar w:fldCharType="end"/>
        </w:r>
      </w:hyperlink>
    </w:p>
    <w:p w14:paraId="5F0895BB" w14:textId="0370BA6D" w:rsidR="00882BA2" w:rsidRDefault="00882BA2">
      <w:pPr>
        <w:pStyle w:val="TDC1"/>
        <w:tabs>
          <w:tab w:val="left" w:pos="1440"/>
          <w:tab w:val="right" w:leader="dot" w:pos="8494"/>
        </w:tabs>
        <w:rPr>
          <w:rFonts w:eastAsiaTheme="minorEastAsia"/>
          <w:noProof/>
          <w:sz w:val="24"/>
          <w:szCs w:val="24"/>
          <w:lang w:val="es-ES" w:eastAsia="es-ES_tradnl"/>
        </w:rPr>
      </w:pPr>
      <w:hyperlink w:anchor="_Toc200710067" w:history="1">
        <w:r w:rsidRPr="008E6BDC">
          <w:rPr>
            <w:rStyle w:val="Hipervnculo"/>
            <w:noProof/>
          </w:rPr>
          <w:t>Artikulua 18.</w:t>
        </w:r>
        <w:r>
          <w:rPr>
            <w:rFonts w:eastAsiaTheme="minorEastAsia"/>
            <w:noProof/>
            <w:sz w:val="24"/>
            <w:szCs w:val="24"/>
            <w:lang w:val="es-ES" w:eastAsia="es-ES_tradnl"/>
          </w:rPr>
          <w:tab/>
        </w:r>
        <w:r w:rsidRPr="008E6BDC">
          <w:rPr>
            <w:rStyle w:val="Hipervnculo"/>
            <w:noProof/>
          </w:rPr>
          <w:t>Gora jotzeko errekurtsoa</w:t>
        </w:r>
        <w:r>
          <w:rPr>
            <w:noProof/>
            <w:webHidden/>
          </w:rPr>
          <w:tab/>
        </w:r>
        <w:r>
          <w:rPr>
            <w:noProof/>
            <w:webHidden/>
          </w:rPr>
          <w:fldChar w:fldCharType="begin"/>
        </w:r>
        <w:r>
          <w:rPr>
            <w:noProof/>
            <w:webHidden/>
          </w:rPr>
          <w:instrText xml:space="preserve"> PAGEREF _Toc200710067 \h </w:instrText>
        </w:r>
        <w:r>
          <w:rPr>
            <w:noProof/>
            <w:webHidden/>
          </w:rPr>
        </w:r>
        <w:r>
          <w:rPr>
            <w:noProof/>
            <w:webHidden/>
          </w:rPr>
          <w:fldChar w:fldCharType="separate"/>
        </w:r>
        <w:r>
          <w:rPr>
            <w:noProof/>
            <w:webHidden/>
          </w:rPr>
          <w:t>12</w:t>
        </w:r>
        <w:r>
          <w:rPr>
            <w:noProof/>
            <w:webHidden/>
          </w:rPr>
          <w:fldChar w:fldCharType="end"/>
        </w:r>
      </w:hyperlink>
    </w:p>
    <w:p w14:paraId="676507D0" w14:textId="6E5CBF72" w:rsidR="00882BA2" w:rsidRDefault="00882BA2">
      <w:pPr>
        <w:pStyle w:val="TDC1"/>
        <w:tabs>
          <w:tab w:val="right" w:leader="dot" w:pos="8494"/>
        </w:tabs>
        <w:rPr>
          <w:rFonts w:eastAsiaTheme="minorEastAsia"/>
          <w:noProof/>
          <w:sz w:val="24"/>
          <w:szCs w:val="24"/>
          <w:lang w:val="es-ES" w:eastAsia="es-ES_tradnl"/>
        </w:rPr>
      </w:pPr>
      <w:hyperlink w:anchor="_Toc200710068" w:history="1">
        <w:r w:rsidRPr="008E6BDC">
          <w:rPr>
            <w:rStyle w:val="Hipervnculo"/>
            <w:noProof/>
          </w:rPr>
          <w:t>XEDAPEN GEHIGARRIAK</w:t>
        </w:r>
        <w:r>
          <w:rPr>
            <w:noProof/>
            <w:webHidden/>
          </w:rPr>
          <w:tab/>
        </w:r>
        <w:r>
          <w:rPr>
            <w:noProof/>
            <w:webHidden/>
          </w:rPr>
          <w:fldChar w:fldCharType="begin"/>
        </w:r>
        <w:r>
          <w:rPr>
            <w:noProof/>
            <w:webHidden/>
          </w:rPr>
          <w:instrText xml:space="preserve"> PAGEREF _Toc200710068 \h </w:instrText>
        </w:r>
        <w:r>
          <w:rPr>
            <w:noProof/>
            <w:webHidden/>
          </w:rPr>
        </w:r>
        <w:r>
          <w:rPr>
            <w:noProof/>
            <w:webHidden/>
          </w:rPr>
          <w:fldChar w:fldCharType="separate"/>
        </w:r>
        <w:r>
          <w:rPr>
            <w:noProof/>
            <w:webHidden/>
          </w:rPr>
          <w:t>13</w:t>
        </w:r>
        <w:r>
          <w:rPr>
            <w:noProof/>
            <w:webHidden/>
          </w:rPr>
          <w:fldChar w:fldCharType="end"/>
        </w:r>
      </w:hyperlink>
    </w:p>
    <w:p w14:paraId="29E9B172" w14:textId="63D7735A" w:rsidR="00882BA2" w:rsidRDefault="00882BA2">
      <w:pPr>
        <w:pStyle w:val="TDC1"/>
        <w:tabs>
          <w:tab w:val="right" w:leader="dot" w:pos="8494"/>
        </w:tabs>
        <w:rPr>
          <w:rFonts w:eastAsiaTheme="minorEastAsia"/>
          <w:noProof/>
          <w:sz w:val="24"/>
          <w:szCs w:val="24"/>
          <w:lang w:val="es-ES" w:eastAsia="es-ES_tradnl"/>
        </w:rPr>
      </w:pPr>
      <w:hyperlink w:anchor="_Toc200710069" w:history="1">
        <w:r w:rsidRPr="008E6BDC">
          <w:rPr>
            <w:rStyle w:val="Hipervnculo"/>
            <w:noProof/>
          </w:rPr>
          <w:t>Lehenengoa. Iraungitako ikasketa-planetako irakasgaiak</w:t>
        </w:r>
        <w:r>
          <w:rPr>
            <w:noProof/>
            <w:webHidden/>
          </w:rPr>
          <w:tab/>
        </w:r>
        <w:r>
          <w:rPr>
            <w:noProof/>
            <w:webHidden/>
          </w:rPr>
          <w:fldChar w:fldCharType="begin"/>
        </w:r>
        <w:r>
          <w:rPr>
            <w:noProof/>
            <w:webHidden/>
          </w:rPr>
          <w:instrText xml:space="preserve"> PAGEREF _Toc200710069 \h </w:instrText>
        </w:r>
        <w:r>
          <w:rPr>
            <w:noProof/>
            <w:webHidden/>
          </w:rPr>
        </w:r>
        <w:r>
          <w:rPr>
            <w:noProof/>
            <w:webHidden/>
          </w:rPr>
          <w:fldChar w:fldCharType="separate"/>
        </w:r>
        <w:r>
          <w:rPr>
            <w:noProof/>
            <w:webHidden/>
          </w:rPr>
          <w:t>13</w:t>
        </w:r>
        <w:r>
          <w:rPr>
            <w:noProof/>
            <w:webHidden/>
          </w:rPr>
          <w:fldChar w:fldCharType="end"/>
        </w:r>
      </w:hyperlink>
    </w:p>
    <w:p w14:paraId="05493810" w14:textId="3E555E2C" w:rsidR="00882BA2" w:rsidRDefault="00882BA2">
      <w:pPr>
        <w:pStyle w:val="TDC1"/>
        <w:tabs>
          <w:tab w:val="right" w:leader="dot" w:pos="8494"/>
        </w:tabs>
        <w:rPr>
          <w:rFonts w:eastAsiaTheme="minorEastAsia"/>
          <w:noProof/>
          <w:sz w:val="24"/>
          <w:szCs w:val="24"/>
          <w:lang w:val="es-ES" w:eastAsia="es-ES_tradnl"/>
        </w:rPr>
      </w:pPr>
      <w:hyperlink w:anchor="_Toc200710070" w:history="1">
        <w:r w:rsidRPr="008E6BDC">
          <w:rPr>
            <w:rStyle w:val="Hipervnculo"/>
            <w:noProof/>
          </w:rPr>
          <w:t>Bigarrena. Indarrean jartzea</w:t>
        </w:r>
        <w:r>
          <w:rPr>
            <w:noProof/>
            <w:webHidden/>
          </w:rPr>
          <w:tab/>
        </w:r>
        <w:r>
          <w:rPr>
            <w:noProof/>
            <w:webHidden/>
          </w:rPr>
          <w:fldChar w:fldCharType="begin"/>
        </w:r>
        <w:r>
          <w:rPr>
            <w:noProof/>
            <w:webHidden/>
          </w:rPr>
          <w:instrText xml:space="preserve"> PAGEREF _Toc200710070 \h </w:instrText>
        </w:r>
        <w:r>
          <w:rPr>
            <w:noProof/>
            <w:webHidden/>
          </w:rPr>
        </w:r>
        <w:r>
          <w:rPr>
            <w:noProof/>
            <w:webHidden/>
          </w:rPr>
          <w:fldChar w:fldCharType="separate"/>
        </w:r>
        <w:r>
          <w:rPr>
            <w:noProof/>
            <w:webHidden/>
          </w:rPr>
          <w:t>13</w:t>
        </w:r>
        <w:r>
          <w:rPr>
            <w:noProof/>
            <w:webHidden/>
          </w:rPr>
          <w:fldChar w:fldCharType="end"/>
        </w:r>
      </w:hyperlink>
    </w:p>
    <w:p w14:paraId="4168E17B" w14:textId="40AF315E" w:rsidR="009F382E" w:rsidRDefault="0014612B" w:rsidP="006B11BA">
      <w:pPr>
        <w:jc w:val="both"/>
        <w:rPr>
          <w:rFonts w:ascii="Arial" w:hAnsi="Arial" w:cs="Arial"/>
          <w:b/>
        </w:rPr>
      </w:pPr>
      <w:r w:rsidRPr="0014612B">
        <w:rPr>
          <w:rFonts w:ascii="Arial" w:hAnsi="Arial" w:cs="Arial"/>
          <w:b/>
          <w:color w:val="002060"/>
        </w:rPr>
        <w:fldChar w:fldCharType="end"/>
      </w:r>
    </w:p>
    <w:p w14:paraId="43F40838" w14:textId="77777777" w:rsidR="009F382E" w:rsidRDefault="009F382E" w:rsidP="006B11BA">
      <w:pPr>
        <w:spacing w:before="120" w:after="120" w:line="360" w:lineRule="auto"/>
        <w:jc w:val="both"/>
        <w:rPr>
          <w:rFonts w:ascii="Arial" w:hAnsi="Arial" w:cs="Arial"/>
          <w:b/>
          <w:bCs/>
        </w:rPr>
      </w:pPr>
    </w:p>
    <w:p w14:paraId="3268C5F0" w14:textId="77777777" w:rsidR="006B11BA" w:rsidRDefault="006B11BA" w:rsidP="006B11BA">
      <w:pPr>
        <w:spacing w:before="120" w:after="120" w:line="360" w:lineRule="auto"/>
        <w:jc w:val="both"/>
        <w:rPr>
          <w:rFonts w:ascii="Arial" w:hAnsi="Arial" w:cs="Arial"/>
          <w:b/>
          <w:bCs/>
        </w:rPr>
      </w:pPr>
    </w:p>
    <w:p w14:paraId="204D7435" w14:textId="77777777" w:rsidR="006B11BA" w:rsidRDefault="006B11BA" w:rsidP="006B11BA">
      <w:pPr>
        <w:spacing w:before="120" w:after="120" w:line="360" w:lineRule="auto"/>
        <w:jc w:val="both"/>
        <w:rPr>
          <w:rFonts w:ascii="Arial" w:hAnsi="Arial" w:cs="Arial"/>
          <w:b/>
          <w:bCs/>
        </w:rPr>
      </w:pPr>
    </w:p>
    <w:p w14:paraId="406D2405" w14:textId="77777777" w:rsidR="006B11BA" w:rsidRDefault="006B11BA" w:rsidP="006B11BA">
      <w:pPr>
        <w:spacing w:before="120" w:after="120" w:line="360" w:lineRule="auto"/>
        <w:jc w:val="both"/>
        <w:rPr>
          <w:rFonts w:ascii="Arial" w:hAnsi="Arial" w:cs="Arial"/>
          <w:b/>
          <w:bCs/>
        </w:rPr>
        <w:sectPr w:rsidR="006B11BA" w:rsidSect="00655120">
          <w:headerReference w:type="default" r:id="rId11"/>
          <w:footerReference w:type="even" r:id="rId12"/>
          <w:footerReference w:type="default" r:id="rId13"/>
          <w:pgSz w:w="11906" w:h="16838"/>
          <w:pgMar w:top="2042" w:right="1701" w:bottom="1417" w:left="1701" w:header="708" w:footer="708" w:gutter="0"/>
          <w:pgNumType w:start="1"/>
          <w:cols w:space="708"/>
          <w:docGrid w:linePitch="360"/>
        </w:sectPr>
      </w:pPr>
    </w:p>
    <w:p w14:paraId="06905BFA" w14:textId="566FDB03" w:rsidR="001E7271" w:rsidRPr="009F382E" w:rsidRDefault="001E7271" w:rsidP="009F382E">
      <w:pPr>
        <w:pStyle w:val="Estilo1"/>
        <w:numPr>
          <w:ilvl w:val="0"/>
          <w:numId w:val="0"/>
        </w:numPr>
      </w:pPr>
      <w:bookmarkStart w:id="1" w:name="_Toc200710049"/>
      <w:r>
        <w:lastRenderedPageBreak/>
        <w:t>Hitzaurrea</w:t>
      </w:r>
      <w:bookmarkEnd w:id="1"/>
    </w:p>
    <w:p w14:paraId="5B532EF0" w14:textId="3815E1E3" w:rsidR="0085560A" w:rsidRDefault="001E7271" w:rsidP="006B11BA">
      <w:pPr>
        <w:spacing w:before="120" w:after="120" w:line="360" w:lineRule="auto"/>
        <w:jc w:val="both"/>
        <w:rPr>
          <w:rFonts w:ascii="Arial" w:hAnsi="Arial" w:cs="Arial"/>
        </w:rPr>
      </w:pPr>
      <w:r>
        <w:rPr>
          <w:rFonts w:ascii="Arial" w:hAnsi="Arial"/>
        </w:rPr>
        <w:t>Unibertsitate Sistemaren martxoaren 22ko 2/2023 Lege Organikoaren 2. artikulua. Unibertsitate-sistemaren funtzioak eta unibertsitateen autonomia: «Ikasleak heztea eta prestatzea, ezagutza zientifikoa, teknologikoa, soziala, humanistikoa, artistikoa eta kulturala, bai eta hari datxezkion gaitasunak, konpetentziak eta trebetasunak ere, sortzearen, garatzearen, transmititzearen eta kritikoki ebaluatzearen bidez». Are zehatzagoa da 33. artikuluan. Prestakuntza akademikoari buruzko eskubideak. Berariaz adierazten du, bere prestakuntza akademikoari dagokionez, ikasleak hainbat eskubide izango dituela, besteak beste, argi eta garbi eta ebaluazio-araudi honekin lotuta, honako hauek: «Ezagutzak ebaluatzeko eta egiaztatzeko prozedurak erregulatzen dituzten arauen ebaluazio objektiboa eta publizitatea jasotzeko eskubidea, kalifikazioak berrikusteko prozedura eta eskura dauden erreklamazio-mekanismoak barne».</w:t>
      </w:r>
    </w:p>
    <w:p w14:paraId="1BEFAB06" w14:textId="3ACF3A0E" w:rsidR="00B208D7" w:rsidRPr="00B208D7" w:rsidRDefault="00B208D7" w:rsidP="006B11BA">
      <w:pPr>
        <w:spacing w:before="120" w:after="120" w:line="360" w:lineRule="auto"/>
        <w:jc w:val="both"/>
        <w:rPr>
          <w:rFonts w:ascii="Arial" w:hAnsi="Arial" w:cs="Arial"/>
        </w:rPr>
      </w:pPr>
      <w:r>
        <w:rPr>
          <w:rFonts w:ascii="Arial" w:hAnsi="Arial"/>
        </w:rPr>
        <w:t>Ildo beretik, eta euskal unibertsitate-sistemaren testuinguruan, otsailaren 25eko 3/2004 Legeak 43. artikuluan jasotzen ditu ikaslearen eskubideak, eta f) eta g) ataletan ebaluazioari lotutako funtsezko alderdiak azpimarratzen ditu. Zehazki, aitortzen da ikasleak eskubidea duela "ebaluazio objektibo, inpartzial eta arrazoitua egiteko, irizpide publikoetan oinarrituta eta aldez aurretik ezarrita" (f apartatua), bai eta "bere kalifikazioak berrikusteko eta erreklamatzeko prozedurak ezagutzeko eta erabiltzeko" eskubidea ere (g apartatua) ".</w:t>
      </w:r>
    </w:p>
    <w:p w14:paraId="77B73E7E" w14:textId="77777777" w:rsidR="00AB6B74" w:rsidRPr="006B11BA" w:rsidRDefault="00340CB0" w:rsidP="006B11BA">
      <w:pPr>
        <w:spacing w:before="120" w:after="120" w:line="360" w:lineRule="auto"/>
        <w:jc w:val="both"/>
        <w:rPr>
          <w:rFonts w:ascii="Arial" w:hAnsi="Arial" w:cs="Arial"/>
        </w:rPr>
      </w:pPr>
      <w:r>
        <w:rPr>
          <w:rFonts w:ascii="Arial" w:hAnsi="Arial"/>
        </w:rPr>
        <w:t xml:space="preserve">Bestalde, Unibertsitateko Ikaslearen Estatutuak, abenduaren 30eko 1791/2010 Errege Dekretuaren bidez onartuak, ezartzen du ikasleak eskubidea duela "kalifikazioak ebaluatzeari eta berrikusteko prozedurari buruzko unibertsitate-arauen berri izateko", eta hainbat xedapen jasotzen ditu kalifikazioak ebaluatzeko, berrikusteko eta erreklamatzeko prozesuei buruz, bai eta irakasleek ebaluazio-dokumentuak zaintzeari eta kalifikazioak argitaratzean teknologia berriak sustatzeari buruz ere. </w:t>
      </w:r>
    </w:p>
    <w:p w14:paraId="3C9B55D0" w14:textId="56C37ADB" w:rsidR="00AB6B74" w:rsidRPr="006B11BA" w:rsidRDefault="173BEB31" w:rsidP="25E93413">
      <w:pPr>
        <w:spacing w:before="120" w:after="120" w:line="360" w:lineRule="auto"/>
        <w:jc w:val="both"/>
        <w:rPr>
          <w:rFonts w:ascii="Arial" w:hAnsi="Arial" w:cs="Arial"/>
        </w:rPr>
      </w:pPr>
      <w:proofErr w:type="spellStart"/>
      <w:r>
        <w:rPr>
          <w:rFonts w:ascii="Arial" w:hAnsi="Arial"/>
        </w:rPr>
        <w:t>Euneiz</w:t>
      </w:r>
      <w:proofErr w:type="spellEnd"/>
      <w:r>
        <w:rPr>
          <w:rFonts w:ascii="Arial" w:hAnsi="Arial"/>
        </w:rPr>
        <w:t xml:space="preserve"> Unibertsitatean, horrek guztiak prestakuntza-ebaluazioari garrantzi handiena ematera garamatza. Ebaluazio horrek aukera ematen dio gure ikasleari ikaskuntza-prozesuan zehar laguntzeko, etengabeko atzeraelikadura eskainiz eta bere ikaskuntzaren erantzukizuna bere gain hartzen lagunduz. </w:t>
      </w:r>
      <w:proofErr w:type="spellStart"/>
      <w:r>
        <w:rPr>
          <w:rFonts w:ascii="Arial" w:hAnsi="Arial"/>
        </w:rPr>
        <w:t>Euneizen</w:t>
      </w:r>
      <w:proofErr w:type="spellEnd"/>
      <w:r>
        <w:rPr>
          <w:rFonts w:ascii="Arial" w:hAnsi="Arial"/>
        </w:rPr>
        <w:t xml:space="preserve">, gure ikasleak gero eta hobeto ezagut daitezen lagundu nahi dugu ebaluazioarekin, haien lorpen eta gabeziez, arrakastez eta porrotez jabetuta, ikasleengan ahalegina eta hobetzeko grina bultzatuta, eta haien zuzentasuna eta erantzukizuna sustatuta. </w:t>
      </w:r>
      <w:proofErr w:type="spellStart"/>
      <w:r>
        <w:rPr>
          <w:rFonts w:ascii="Arial" w:hAnsi="Arial"/>
        </w:rPr>
        <w:t>Euneizen</w:t>
      </w:r>
      <w:proofErr w:type="spellEnd"/>
      <w:r>
        <w:rPr>
          <w:rFonts w:ascii="Arial" w:hAnsi="Arial"/>
        </w:rPr>
        <w:t xml:space="preserve"> indarrean dagoen ebaluazio motaren funtzioetako bat da ebaluazioa egitea, aurreikustea, orientatzea eta kontrolatzea, alde batera utzi gabe eta alde batera utzi gabe ebaluazio </w:t>
      </w:r>
      <w:r>
        <w:rPr>
          <w:rFonts w:ascii="Arial" w:hAnsi="Arial"/>
        </w:rPr>
        <w:lastRenderedPageBreak/>
        <w:t>baten beharra, ikaslearen jarraipena ziurtatzeko tituluak emateari begira, ahalik eta datu-base objektiboenetan oinarrituta. Ebaluazioa beharrezkoa da irakasleentzat ere, eta aukera ematen die irakasleek ikasleengan duten eragina baloratzeko, hobetu beharreko arloak identifikatuz.</w:t>
      </w:r>
    </w:p>
    <w:p w14:paraId="0FA5D881" w14:textId="3A04F0FE" w:rsidR="00B51D15" w:rsidRPr="006B11BA" w:rsidRDefault="08D65BCA" w:rsidP="006B11BA">
      <w:pPr>
        <w:spacing w:before="120" w:after="120" w:line="360" w:lineRule="auto"/>
        <w:jc w:val="both"/>
        <w:rPr>
          <w:rFonts w:ascii="Arial" w:hAnsi="Arial" w:cs="Arial"/>
        </w:rPr>
      </w:pPr>
      <w:r>
        <w:rPr>
          <w:rFonts w:ascii="Arial" w:hAnsi="Arial"/>
        </w:rPr>
        <w:t>Araudi honek ebaluazioa, deialdien araubidea, berrikusteko dauden mekanismoak eta irakasleen atzeraelikadurari buruzko zenbait gai ezartzen eta argitaratzen ditu. Hemen araututakoaren osagarri, irakaskuntza-gidek eta -programazioek zehatz-mehatz jaso behar dituzte aurreikusitako ebaluazio-probak kalifikatzean aplikatuko diren irizpideak, ikasleak informazio osoa eta zehatza izan dezan horietatik espero denari eta kalifikatuko diren moduari buruz.</w:t>
      </w:r>
    </w:p>
    <w:p w14:paraId="783F1796" w14:textId="77777777" w:rsidR="00B51D15" w:rsidRPr="006B11BA" w:rsidRDefault="00B51D15" w:rsidP="006B11BA">
      <w:pPr>
        <w:spacing w:before="120" w:after="120" w:line="360" w:lineRule="auto"/>
        <w:jc w:val="both"/>
        <w:rPr>
          <w:rFonts w:ascii="Arial" w:hAnsi="Arial" w:cs="Arial"/>
          <w:b/>
        </w:rPr>
      </w:pPr>
    </w:p>
    <w:p w14:paraId="605AB8C4" w14:textId="493E3A77" w:rsidR="00201782" w:rsidRPr="006B11BA" w:rsidRDefault="00201782" w:rsidP="009F382E">
      <w:pPr>
        <w:pStyle w:val="Estilo1"/>
      </w:pPr>
      <w:bookmarkStart w:id="2" w:name="_Toc200710050"/>
      <w:r>
        <w:t>Xedea</w:t>
      </w:r>
      <w:bookmarkEnd w:id="2"/>
    </w:p>
    <w:p w14:paraId="7C904490" w14:textId="77777777" w:rsidR="00D95517" w:rsidRPr="006B11BA" w:rsidRDefault="00D95517" w:rsidP="006B11BA">
      <w:pPr>
        <w:spacing w:before="120" w:after="120" w:line="360" w:lineRule="auto"/>
        <w:jc w:val="both"/>
        <w:rPr>
          <w:rFonts w:ascii="Arial" w:hAnsi="Arial" w:cs="Arial"/>
        </w:rPr>
      </w:pPr>
      <w:r>
        <w:rPr>
          <w:rFonts w:ascii="Arial" w:hAnsi="Arial"/>
        </w:rPr>
        <w:t xml:space="preserve">Ikaslearen ebaluazioa irakaskuntza- eta ikaskuntza-prozesuaren funtsezko zutabea da. Lanaren ebaluazio hori zorrotz planteatu behar da, eta prestakuntzako, etengabeko ebaluazioko eta prestakuntzan aurrera egiteko helburuak ez ezik, gardentasun- eta objektibotasun-irizpideak ere bete behar ditu. Prozesu horretan irakasleen eta ikasleen eskubideak eta betebeharrak bermatu behar dira. </w:t>
      </w:r>
    </w:p>
    <w:p w14:paraId="272593FB" w14:textId="37FD1D14" w:rsidR="00D95517" w:rsidRPr="006B11BA" w:rsidRDefault="00D95517" w:rsidP="006B11BA">
      <w:pPr>
        <w:spacing w:before="120" w:after="120" w:line="360" w:lineRule="auto"/>
        <w:jc w:val="both"/>
        <w:rPr>
          <w:rFonts w:ascii="Arial" w:hAnsi="Arial" w:cs="Arial"/>
        </w:rPr>
      </w:pPr>
      <w:r>
        <w:rPr>
          <w:rFonts w:ascii="Arial" w:hAnsi="Arial"/>
        </w:rPr>
        <w:t xml:space="preserve">Araudi honen helburua da ikasketa-planetan jasotako jakintzagaietan edo irakasgaietan erabilitako ebaluazio-prozesuak eta -prozedurak arautzea, ebaluazio-sistema komunak, ebaluazio-sistema zorrotzak eta uniformeak ezarri ahal izateko. Sistema horien aplikazioak modu fidagarri eta baliozkoan islatuko du irakaskuntza- eta ikaskuntza-prozesuan pixkanaka eskuratutako ezagutza- eta konpetentzia-maila. </w:t>
      </w:r>
    </w:p>
    <w:p w14:paraId="3E466A97" w14:textId="2803933C" w:rsidR="77C577E3" w:rsidRPr="006B11BA" w:rsidRDefault="77C577E3" w:rsidP="006B11BA">
      <w:pPr>
        <w:spacing w:before="120" w:after="120" w:line="360" w:lineRule="auto"/>
        <w:jc w:val="both"/>
        <w:rPr>
          <w:rFonts w:ascii="Arial" w:hAnsi="Arial" w:cs="Arial"/>
          <w:b/>
          <w:bCs/>
        </w:rPr>
      </w:pPr>
    </w:p>
    <w:p w14:paraId="28F5ED43" w14:textId="181D609D" w:rsidR="00201782" w:rsidRPr="009F382E" w:rsidRDefault="00201782" w:rsidP="007834B0">
      <w:pPr>
        <w:pStyle w:val="Estilo1"/>
      </w:pPr>
      <w:bookmarkStart w:id="3" w:name="_Toc200710051"/>
      <w:r>
        <w:t>Aplikazio-eremua</w:t>
      </w:r>
      <w:bookmarkEnd w:id="3"/>
    </w:p>
    <w:p w14:paraId="3515F83C" w14:textId="6074FB4E" w:rsidR="00DF1948" w:rsidRPr="006B11BA" w:rsidRDefault="0477AC12" w:rsidP="006B11BA">
      <w:pPr>
        <w:spacing w:before="120" w:after="120" w:line="360" w:lineRule="auto"/>
        <w:jc w:val="both"/>
        <w:rPr>
          <w:rFonts w:ascii="Arial" w:hAnsi="Arial" w:cs="Arial"/>
        </w:rPr>
      </w:pPr>
      <w:r>
        <w:rPr>
          <w:rFonts w:ascii="Arial" w:hAnsi="Arial"/>
        </w:rPr>
        <w:t xml:space="preserve">Araudi hau </w:t>
      </w:r>
      <w:proofErr w:type="spellStart"/>
      <w:r>
        <w:rPr>
          <w:rFonts w:ascii="Arial" w:hAnsi="Arial"/>
        </w:rPr>
        <w:t>Euneizko</w:t>
      </w:r>
      <w:proofErr w:type="spellEnd"/>
      <w:r>
        <w:rPr>
          <w:rFonts w:ascii="Arial" w:hAnsi="Arial"/>
        </w:rPr>
        <w:t xml:space="preserve"> graduko eta unibertsitate-masterreko ikasketa ofizial guztiei aplikatuko zaie. Araudiak ikasketa horietako gai eta irakasgai guztiak ebaluatzen ditu, ebaluazio partzialak eta azken ebaluazioak barne, bai eta </w:t>
      </w:r>
      <w:proofErr w:type="spellStart"/>
      <w:r>
        <w:rPr>
          <w:rFonts w:ascii="Arial" w:hAnsi="Arial"/>
        </w:rPr>
        <w:t>Euneizko</w:t>
      </w:r>
      <w:proofErr w:type="spellEnd"/>
      <w:r>
        <w:rPr>
          <w:rFonts w:ascii="Arial" w:hAnsi="Arial"/>
        </w:rPr>
        <w:t xml:space="preserve"> titulazio ofizialen eremuan egiten den edozein ebaluazio-prozedura ere: teorikoa, praktikoa, idatzizkoa, ahozkoa, grafikoa, informatikoa, etab. Beraz, eta zalantzarik gabe, kanpoko praktika akademikoen ebaluazioari aplikatzen dizkio Gradu Amaierako Lana (GAL) eta Master Amaierako Lana (MAL).</w:t>
      </w:r>
    </w:p>
    <w:p w14:paraId="23EEA96D" w14:textId="6A6B6E97" w:rsidR="77C577E3" w:rsidRDefault="77C577E3" w:rsidP="006B11BA">
      <w:pPr>
        <w:spacing w:before="120" w:after="120" w:line="360" w:lineRule="auto"/>
        <w:jc w:val="both"/>
        <w:rPr>
          <w:rFonts w:ascii="Arial" w:hAnsi="Arial" w:cs="Arial"/>
          <w:b/>
          <w:bCs/>
        </w:rPr>
      </w:pPr>
    </w:p>
    <w:p w14:paraId="72231A91" w14:textId="77777777" w:rsidR="00A00A20" w:rsidRPr="006B11BA" w:rsidRDefault="00A00A20" w:rsidP="006B11BA">
      <w:pPr>
        <w:spacing w:before="120" w:after="120" w:line="360" w:lineRule="auto"/>
        <w:jc w:val="both"/>
        <w:rPr>
          <w:rFonts w:ascii="Arial" w:hAnsi="Arial" w:cs="Arial"/>
          <w:b/>
          <w:bCs/>
        </w:rPr>
      </w:pPr>
    </w:p>
    <w:p w14:paraId="030EE109" w14:textId="6604DDE2" w:rsidR="00DF1948" w:rsidRPr="009F382E" w:rsidRDefault="00DF1948" w:rsidP="009F382E">
      <w:pPr>
        <w:pStyle w:val="Estilo1"/>
      </w:pPr>
      <w:bookmarkStart w:id="4" w:name="_Toc200710052"/>
      <w:r>
        <w:t>Ebaluazioaren arduradunak</w:t>
      </w:r>
      <w:bookmarkEnd w:id="4"/>
      <w:r>
        <w:t xml:space="preserve"> </w:t>
      </w:r>
    </w:p>
    <w:p w14:paraId="46DA55EE" w14:textId="4C99BD68" w:rsidR="00DF1948" w:rsidRPr="006B11BA" w:rsidRDefault="523EC5CC" w:rsidP="006B11BA">
      <w:pPr>
        <w:spacing w:before="120" w:after="120" w:line="360" w:lineRule="auto"/>
        <w:jc w:val="both"/>
        <w:rPr>
          <w:rFonts w:ascii="Arial" w:hAnsi="Arial" w:cs="Arial"/>
        </w:rPr>
      </w:pPr>
      <w:r>
        <w:rPr>
          <w:rFonts w:ascii="Arial" w:hAnsi="Arial"/>
        </w:rPr>
        <w:t xml:space="preserve">Irakasgai bat ebaluatzeko erantzukizuna irakasgaiaren irakaskuntza-gaitasuna aitortuta duten irakasleei dagokie. Hala ere, araudi honen 17. artikuluan aipatzen den Ebaluazio Berrikusteko Epaimahaiak ebaluatu ahal izango du ikaslea, interesdunak aldez aurretik eskatuta. </w:t>
      </w:r>
    </w:p>
    <w:p w14:paraId="73CC842D" w14:textId="767D6BF8" w:rsidR="77C577E3" w:rsidRPr="006B11BA" w:rsidRDefault="77C577E3" w:rsidP="006B11BA">
      <w:pPr>
        <w:spacing w:before="120" w:after="120" w:line="360" w:lineRule="auto"/>
        <w:jc w:val="both"/>
        <w:rPr>
          <w:rFonts w:ascii="Arial" w:hAnsi="Arial" w:cs="Arial"/>
          <w:b/>
          <w:bCs/>
        </w:rPr>
      </w:pPr>
    </w:p>
    <w:p w14:paraId="61AEDD84" w14:textId="2D6C4674" w:rsidR="00201782" w:rsidRPr="009F382E" w:rsidRDefault="00201782" w:rsidP="009F382E">
      <w:pPr>
        <w:pStyle w:val="Estilo1"/>
      </w:pPr>
      <w:bookmarkStart w:id="5" w:name="_Toc200710053"/>
      <w:r>
        <w:t>Ebaluazioaren printzipio orokorrak</w:t>
      </w:r>
      <w:bookmarkEnd w:id="5"/>
    </w:p>
    <w:p w14:paraId="1E647836" w14:textId="643B6401" w:rsidR="00B02275" w:rsidRPr="006B11BA" w:rsidRDefault="00432C09" w:rsidP="00CC5955">
      <w:pPr>
        <w:pStyle w:val="Prrafodelista"/>
        <w:numPr>
          <w:ilvl w:val="0"/>
          <w:numId w:val="1"/>
        </w:numPr>
        <w:spacing w:before="120" w:after="120" w:line="360" w:lineRule="auto"/>
        <w:contextualSpacing w:val="0"/>
        <w:jc w:val="both"/>
        <w:rPr>
          <w:rFonts w:ascii="Arial" w:hAnsi="Arial" w:cs="Arial"/>
        </w:rPr>
      </w:pPr>
      <w:r>
        <w:rPr>
          <w:rFonts w:ascii="Arial" w:hAnsi="Arial"/>
        </w:rPr>
        <w:t>Ikasleak ebaluazio objektiboa eta inpartziala egiteko eskubidea du, ekitatea eta justizia bermatuta. Halaber, bere kalifikazioak zehatz-mehatz ezagutuko ditu horretarako ezarritako epeetan, eta egokitzat jotzen dituen berrikuspenak eta aurkaratzeak egingo ditu, araudi honetan eta Unibertsitatean horretarako ezarritako mekanismoen bidez.</w:t>
      </w:r>
    </w:p>
    <w:p w14:paraId="53EA297E" w14:textId="1BAFBD11" w:rsidR="00432C09" w:rsidRPr="006B11BA" w:rsidRDefault="00432C09" w:rsidP="00CC5955">
      <w:pPr>
        <w:pStyle w:val="Prrafodelista"/>
        <w:numPr>
          <w:ilvl w:val="0"/>
          <w:numId w:val="1"/>
        </w:numPr>
        <w:spacing w:before="120" w:after="120" w:line="360" w:lineRule="auto"/>
        <w:jc w:val="both"/>
        <w:rPr>
          <w:rFonts w:ascii="Arial" w:hAnsi="Arial" w:cs="Arial"/>
        </w:rPr>
      </w:pPr>
      <w:r>
        <w:rPr>
          <w:rFonts w:ascii="Arial" w:hAnsi="Arial"/>
        </w:rPr>
        <w:t>Ikasleak eskubidea du matrikulatuta dagoen irakasgai guztietan lortutako ezagutzen, trebetasunen eta gaitasunen bidez islatutako ikaskuntza-emaitzak ebaluatzeko, dagozkion irakaskuntza-gida eta -programazioetan zehaztutakoaren arabera.</w:t>
      </w:r>
    </w:p>
    <w:p w14:paraId="474A0116" w14:textId="1D80FC83" w:rsidR="00E54140" w:rsidRPr="006B11BA" w:rsidRDefault="709753AB" w:rsidP="00CC5955">
      <w:pPr>
        <w:pStyle w:val="Prrafodelista"/>
        <w:numPr>
          <w:ilvl w:val="0"/>
          <w:numId w:val="1"/>
        </w:numPr>
        <w:spacing w:before="120" w:after="120" w:line="360" w:lineRule="auto"/>
        <w:jc w:val="both"/>
        <w:rPr>
          <w:rFonts w:ascii="Arial" w:hAnsi="Arial" w:cs="Arial"/>
        </w:rPr>
      </w:pPr>
      <w:r>
        <w:rPr>
          <w:rFonts w:ascii="Arial" w:hAnsi="Arial"/>
        </w:rPr>
        <w:t xml:space="preserve">Ikasleak, irakasgaia ematen hasi eta lehenengo bi asteetan irakasleei eskatu ondoren, ebaluazio-jarduerei </w:t>
      </w:r>
      <w:proofErr w:type="spellStart"/>
      <w:r>
        <w:rPr>
          <w:rFonts w:ascii="Arial" w:hAnsi="Arial"/>
        </w:rPr>
        <w:t>Euneiz</w:t>
      </w:r>
      <w:proofErr w:type="spellEnd"/>
      <w:r>
        <w:rPr>
          <w:rFonts w:ascii="Arial" w:hAnsi="Arial"/>
        </w:rPr>
        <w:t xml:space="preserve"> Unibertsitateko hizkuntza ofizialetan erantzutea eskatu ahal izango du, hau da, euskaraz edo gaztelaniaz, irakasleek eskola emateko erabiltzen duten hizkuntza edozein dela ere, eta azterketaren enuntziatuaren hizkuntza edozein dela ere, normalean irakaskuntza eman den hizkuntza berean eskaintzen baita. Kasu berezietan, aldez aurretik irakasle edo unibertsitate-organo eskudunekin adostuta, azterketak </w:t>
      </w:r>
      <w:proofErr w:type="spellStart"/>
      <w:r>
        <w:rPr>
          <w:rFonts w:ascii="Arial" w:hAnsi="Arial"/>
        </w:rPr>
        <w:t>Euneizko</w:t>
      </w:r>
      <w:proofErr w:type="spellEnd"/>
      <w:r>
        <w:rPr>
          <w:rFonts w:ascii="Arial" w:hAnsi="Arial"/>
        </w:rPr>
        <w:t xml:space="preserve"> hizkuntza ofizialak ez diren beste hizkuntza batzuetan ere erantzun daitezke.</w:t>
      </w:r>
    </w:p>
    <w:p w14:paraId="5FAA3CEC" w14:textId="57CAC0DE" w:rsidR="004B1E35" w:rsidRPr="006B11BA" w:rsidRDefault="6C0C8444" w:rsidP="00CC5955">
      <w:pPr>
        <w:pStyle w:val="Prrafodelista"/>
        <w:numPr>
          <w:ilvl w:val="0"/>
          <w:numId w:val="1"/>
        </w:numPr>
        <w:spacing w:before="120" w:after="120" w:line="360" w:lineRule="auto"/>
        <w:jc w:val="both"/>
        <w:rPr>
          <w:rFonts w:ascii="Arial" w:hAnsi="Arial" w:cs="Arial"/>
        </w:rPr>
      </w:pPr>
      <w:r>
        <w:rPr>
          <w:rFonts w:ascii="Arial" w:hAnsi="Arial"/>
        </w:rPr>
        <w:t xml:space="preserve">Ikasleak eskubidea du matrikulatutako ikasturte bakoitzeko bi deialditan, ohiko deialdi batean eta ezohiko deialdi batean ebaluatua izateko. Ikasle guztiek aukera izango dute ohiko deialdian irakasgaia gainditzeko, eta, hori lortzen ez badute, ezohiko deialdira aurkezteko eskubidea izango dute. Irakasgaia gainditu ondoren, ezin izango da berriro ebaluatu, lehen kalifikazioa hobetzeko. Curriculumeko kanpoko praktika akademikoak egitea aurreikusten duten titulazioetan, ikasleak praktiken memoria aurkezteko ezohiko deialdian parte hartu ahal izango du, baldin eta bertan gabeziak hauteman badira. </w:t>
      </w:r>
    </w:p>
    <w:p w14:paraId="736222B1" w14:textId="223346B0" w:rsidR="005F3D28" w:rsidRPr="006B11BA" w:rsidRDefault="00291778" w:rsidP="00CC5955">
      <w:pPr>
        <w:pStyle w:val="Prrafodelista"/>
        <w:numPr>
          <w:ilvl w:val="0"/>
          <w:numId w:val="1"/>
        </w:numPr>
        <w:spacing w:before="120" w:after="120" w:line="360" w:lineRule="auto"/>
        <w:jc w:val="both"/>
        <w:rPr>
          <w:rFonts w:ascii="Arial" w:hAnsi="Arial" w:cs="Arial"/>
        </w:rPr>
      </w:pPr>
      <w:proofErr w:type="spellStart"/>
      <w:r>
        <w:rPr>
          <w:rFonts w:ascii="Arial" w:hAnsi="Arial"/>
        </w:rPr>
        <w:lastRenderedPageBreak/>
        <w:t>Euneiz</w:t>
      </w:r>
      <w:proofErr w:type="spellEnd"/>
      <w:r>
        <w:rPr>
          <w:rFonts w:ascii="Arial" w:hAnsi="Arial"/>
        </w:rPr>
        <w:t xml:space="preserve"> Unibertsitateak bi ebaluazio-aukera aurreikusten ditu: Etengabeko ebaluazioa eta ebaluazio bakarra. Bi deialdi izango dituzte, ohikoa eta ezohikoa. </w:t>
      </w:r>
    </w:p>
    <w:p w14:paraId="730478CE" w14:textId="36E8D36F" w:rsidR="00E54140" w:rsidRPr="006B11BA" w:rsidRDefault="00E54140" w:rsidP="00CC5955">
      <w:pPr>
        <w:pStyle w:val="Prrafodelista"/>
        <w:numPr>
          <w:ilvl w:val="0"/>
          <w:numId w:val="14"/>
        </w:numPr>
        <w:spacing w:before="120" w:after="120" w:line="360" w:lineRule="auto"/>
        <w:contextualSpacing w:val="0"/>
        <w:jc w:val="both"/>
        <w:rPr>
          <w:rFonts w:ascii="Arial" w:hAnsi="Arial" w:cs="Arial"/>
        </w:rPr>
      </w:pPr>
      <w:r>
        <w:rPr>
          <w:rFonts w:ascii="Arial" w:hAnsi="Arial"/>
          <w:u w:val="single"/>
        </w:rPr>
        <w:t>Etengabeko ebaluazioa:</w:t>
      </w:r>
      <w:r>
        <w:rPr>
          <w:rFonts w:ascii="Arial" w:hAnsi="Arial"/>
        </w:rPr>
        <w:t xml:space="preserve"> Unibertsitateko lehentasunezko erabileraren ebaluazioa. Ebaluazio-jardueren multzo bat ezartzen da, ikasle bakoitzak prestakuntza-aldian zehar izandako aurrerapena baloratu ahal izateko. Erabiltzen diren sistemek eta tresnek irakasgaiei lotutako prestakuntza- eta ikaskuntza-emaitza guztiak garatzen eta eskuratzen direla bermatu behar dute. Probak prestakuntza-aldian bakarrik egin ahal izango dira, edo, bestela, prestakuntza-aldian zehar, eta proba batekin osatu ahal izango dira, dagokion azterketa-deialdirako ezarritako data ofizialean.</w:t>
      </w:r>
    </w:p>
    <w:p w14:paraId="0F325146" w14:textId="2CA5255A" w:rsidR="006250AB" w:rsidRPr="006B11BA" w:rsidRDefault="006250AB" w:rsidP="006B11BA">
      <w:pPr>
        <w:pStyle w:val="Prrafodelista"/>
        <w:spacing w:before="120" w:after="120" w:line="360" w:lineRule="auto"/>
        <w:jc w:val="both"/>
        <w:rPr>
          <w:rFonts w:ascii="Arial" w:hAnsi="Arial" w:cs="Arial"/>
        </w:rPr>
      </w:pPr>
      <w:r>
        <w:rPr>
          <w:rFonts w:ascii="Arial" w:hAnsi="Arial"/>
        </w:rPr>
        <w:t>Etengabeko ebaluazioan lortutako emaitza positiboak gorde egingo dira. Etengabeko ebaluazioan lortutako emaitza negatiboak ez dira ezohiko deialdirako gordeko, eta ikasleak kalifikazioaren % 100 lortu ahal izango du deialdi horretan. </w:t>
      </w:r>
    </w:p>
    <w:p w14:paraId="49B18326" w14:textId="02C4B5B5" w:rsidR="006B11BA" w:rsidRPr="006B11BA" w:rsidRDefault="006B11BA" w:rsidP="006B11BA">
      <w:pPr>
        <w:pStyle w:val="Prrafodelista"/>
        <w:spacing w:before="120" w:after="120" w:line="360" w:lineRule="auto"/>
        <w:jc w:val="both"/>
        <w:rPr>
          <w:rFonts w:ascii="Arial" w:hAnsi="Arial" w:cs="Arial"/>
        </w:rPr>
      </w:pPr>
      <w:r>
        <w:rPr>
          <w:rFonts w:ascii="Arial" w:hAnsi="Arial"/>
        </w:rPr>
        <w:t>Ikasgaiaren irakaskuntza-gidan/-programazioan ezarritako gutxieneko presentzia- eta partaidetza-ehunekoa lortu ez duen ikaslea ebaluazio bakarraren ezohiko deialdira igaroko da zuzenean.</w:t>
      </w:r>
    </w:p>
    <w:p w14:paraId="5E4532F8" w14:textId="011AE5C7" w:rsidR="007A61A9" w:rsidRPr="006B11BA" w:rsidRDefault="709753AB" w:rsidP="00CC5955">
      <w:pPr>
        <w:pStyle w:val="Prrafodelista"/>
        <w:numPr>
          <w:ilvl w:val="0"/>
          <w:numId w:val="14"/>
        </w:numPr>
        <w:spacing w:before="120" w:after="120" w:line="360" w:lineRule="auto"/>
        <w:jc w:val="both"/>
        <w:rPr>
          <w:rFonts w:ascii="Arial" w:hAnsi="Arial" w:cs="Arial"/>
        </w:rPr>
      </w:pPr>
      <w:r>
        <w:rPr>
          <w:rFonts w:ascii="Arial" w:hAnsi="Arial"/>
          <w:u w:val="single"/>
        </w:rPr>
        <w:t>Ebaluazio bakarra:</w:t>
      </w:r>
      <w:r>
        <w:rPr>
          <w:rFonts w:ascii="Arial" w:hAnsi="Arial"/>
        </w:rPr>
        <w:t xml:space="preserve"> Ebaluazio hori ikasgaiko irakasleei modu justifikatuan eskatu dien ikaslearentzat erreserbatuta egongo da, eta ikasgaia irakasten hasi eta lehenengo bi asteetan koordinatu beharko da, baldin eta horretarako aldeko txostena lortu badu. </w:t>
      </w:r>
      <w:r>
        <w:t>Horrek ebaluazio globala ekarriko du, irakaskuntza-gidan/-programazioan definitutako ebaluazio jarraituko jarduerak kontuan hartu gabe.</w:t>
      </w:r>
    </w:p>
    <w:p w14:paraId="5C6D1E1E" w14:textId="1775DF0A" w:rsidR="00432C09" w:rsidRPr="006B11BA" w:rsidRDefault="00432C09" w:rsidP="00CC5955">
      <w:pPr>
        <w:pStyle w:val="Prrafodelista"/>
        <w:numPr>
          <w:ilvl w:val="0"/>
          <w:numId w:val="1"/>
        </w:numPr>
        <w:spacing w:before="120" w:after="120" w:line="360" w:lineRule="auto"/>
        <w:contextualSpacing w:val="0"/>
        <w:jc w:val="both"/>
        <w:rPr>
          <w:rFonts w:ascii="Arial" w:hAnsi="Arial" w:cs="Arial"/>
        </w:rPr>
      </w:pPr>
      <w:r>
        <w:rPr>
          <w:rFonts w:ascii="Arial" w:hAnsi="Arial"/>
        </w:rPr>
        <w:t>Ikasleak ezingo ditu erabili edo lagundu ebaluazio-probetan iruzurrezko prozeduretan, ez eta bere errendimendu akademikoaren balorazio objektiboa indargabetzen duten tresnak erabili ere. Betebehar hori betetzen ez bada, Unibertsitate Bizikidetzari buruzko otsailaren 24ko 3/2022 Legean ezarritakoaren arabera jokatuko da.</w:t>
      </w:r>
    </w:p>
    <w:p w14:paraId="0F6476CD" w14:textId="4E9702F1" w:rsidR="00B02275" w:rsidRPr="006B11BA" w:rsidRDefault="00432C09" w:rsidP="00CC5955">
      <w:pPr>
        <w:pStyle w:val="Prrafodelista"/>
        <w:numPr>
          <w:ilvl w:val="0"/>
          <w:numId w:val="1"/>
        </w:numPr>
        <w:spacing w:before="120" w:after="120" w:line="360" w:lineRule="auto"/>
        <w:contextualSpacing w:val="0"/>
        <w:jc w:val="both"/>
        <w:rPr>
          <w:rFonts w:ascii="Arial" w:hAnsi="Arial" w:cs="Arial"/>
        </w:rPr>
      </w:pPr>
      <w:r>
        <w:rPr>
          <w:rFonts w:ascii="Arial" w:hAnsi="Arial"/>
        </w:rPr>
        <w:t>Irakasleek modu objektibo eta bidezkoan ebaluatu behar dute ikasleak eskuratutako prestakuntza- eta ikaskuntza-emaitzen eta ezagutzen maila, egiaztatutako irakaskuntza-proiektuari dagokion irakaskuntza-gidan eta -programazioan jasotako ebaluazio-sistemak errespetatuz.</w:t>
      </w:r>
    </w:p>
    <w:p w14:paraId="6EF6425E" w14:textId="636A5EAE" w:rsidR="00432C09" w:rsidRPr="006B11BA" w:rsidRDefault="00432C09" w:rsidP="00CC5955">
      <w:pPr>
        <w:pStyle w:val="Prrafodelista"/>
        <w:numPr>
          <w:ilvl w:val="0"/>
          <w:numId w:val="1"/>
        </w:numPr>
        <w:spacing w:before="120" w:after="120" w:line="360" w:lineRule="auto"/>
        <w:contextualSpacing w:val="0"/>
        <w:jc w:val="both"/>
        <w:rPr>
          <w:rFonts w:ascii="Arial" w:hAnsi="Arial" w:cs="Arial"/>
        </w:rPr>
      </w:pPr>
      <w:r>
        <w:rPr>
          <w:rFonts w:ascii="Arial" w:hAnsi="Arial"/>
        </w:rPr>
        <w:t>Irakasleek etengabeko ebaluazioa sustatu behar dute, irakasleen eta ikasleen erantzukizun partekatuko tresna gisa ulertuta, eta ikaskuntzan egindako aurrerapenaren jarraipena kontuan hartuko duen prozesu bat sustatu behar dute.</w:t>
      </w:r>
    </w:p>
    <w:p w14:paraId="7C7CFE1F" w14:textId="07EB2FB8" w:rsidR="00201782" w:rsidRPr="006B11BA" w:rsidRDefault="0477AC12" w:rsidP="00CC5955">
      <w:pPr>
        <w:pStyle w:val="Prrafodelista"/>
        <w:numPr>
          <w:ilvl w:val="0"/>
          <w:numId w:val="1"/>
        </w:numPr>
        <w:spacing w:before="120" w:after="120" w:line="360" w:lineRule="auto"/>
        <w:jc w:val="both"/>
        <w:rPr>
          <w:rFonts w:ascii="Arial" w:hAnsi="Arial" w:cs="Arial"/>
        </w:rPr>
      </w:pPr>
      <w:r>
        <w:rPr>
          <w:rFonts w:ascii="Arial" w:hAnsi="Arial"/>
        </w:rPr>
        <w:lastRenderedPageBreak/>
        <w:t>Behar akademiko espezifikoak dituzten ikasleei egokitu beharko zaizkie ebaluazio-probak, eta unibertsitateak ezartzen duen araudiaren arabera egin beharko dira.</w:t>
      </w:r>
    </w:p>
    <w:p w14:paraId="7D55EA3A" w14:textId="507F0B02" w:rsidR="77C577E3" w:rsidRPr="006B11BA" w:rsidRDefault="77C577E3" w:rsidP="006B11BA">
      <w:pPr>
        <w:spacing w:before="120" w:after="120" w:line="360" w:lineRule="auto"/>
        <w:jc w:val="both"/>
        <w:rPr>
          <w:rFonts w:ascii="Arial" w:hAnsi="Arial" w:cs="Arial"/>
          <w:b/>
          <w:bCs/>
        </w:rPr>
      </w:pPr>
    </w:p>
    <w:p w14:paraId="5394BF0C" w14:textId="65848466" w:rsidR="00471D96" w:rsidRPr="009F382E" w:rsidRDefault="00471D96" w:rsidP="009F382E">
      <w:pPr>
        <w:pStyle w:val="Estilo1"/>
      </w:pPr>
      <w:bookmarkStart w:id="6" w:name="_Toc200710054"/>
      <w:r>
        <w:t>Informatzeko betebeharrak</w:t>
      </w:r>
      <w:bookmarkEnd w:id="6"/>
    </w:p>
    <w:p w14:paraId="5B6E931D" w14:textId="031AC4ED" w:rsidR="00471D96" w:rsidRPr="006B11BA" w:rsidRDefault="005C5206" w:rsidP="00CC5955">
      <w:pPr>
        <w:pStyle w:val="Prrafodelista"/>
        <w:numPr>
          <w:ilvl w:val="0"/>
          <w:numId w:val="7"/>
        </w:numPr>
        <w:spacing w:before="120" w:after="120" w:line="360" w:lineRule="auto"/>
        <w:contextualSpacing w:val="0"/>
        <w:jc w:val="both"/>
        <w:rPr>
          <w:rFonts w:ascii="Arial" w:hAnsi="Arial" w:cs="Arial"/>
        </w:rPr>
      </w:pPr>
      <w:r>
        <w:rPr>
          <w:rFonts w:ascii="Arial" w:hAnsi="Arial"/>
        </w:rPr>
        <w:t>Ikasturte bakoitzean matrikula-aldia ireki aurretik, ikasleak irakaskuntza-gida eguneratuak izatea bermatuko da, Unibertsitatearen prozedurei jarraituz.</w:t>
      </w:r>
    </w:p>
    <w:p w14:paraId="4A14BF29" w14:textId="1715FC77" w:rsidR="005C5206" w:rsidRPr="006B11BA" w:rsidRDefault="79C87D06" w:rsidP="00CC5955">
      <w:pPr>
        <w:pStyle w:val="Prrafodelista"/>
        <w:numPr>
          <w:ilvl w:val="0"/>
          <w:numId w:val="7"/>
        </w:numPr>
        <w:spacing w:before="120" w:after="120" w:line="360" w:lineRule="auto"/>
        <w:jc w:val="both"/>
        <w:rPr>
          <w:rFonts w:ascii="Arial" w:hAnsi="Arial" w:cs="Arial"/>
        </w:rPr>
      </w:pPr>
      <w:r>
        <w:rPr>
          <w:rFonts w:ascii="Arial" w:hAnsi="Arial"/>
        </w:rPr>
        <w:t xml:space="preserve">Irakaskuntza-programazioetan, ebaluazioarekin lotutako alderdi hauei buruzko informazioa emango da: aurreikusitako ebaluazio-prozedurak eta -probak, elementu horiek azken ebaluazioari egiten dioten ekarpena eta ebaluazio hori egiteko erabiliko diren irizpideak, bai ohiko deialdian, bai ezohikoan. Betekizun espezifikoen zerrenda adieraziko da, hala nola praktika-eskolen kopuru jakin batera joatea, lanak nahitaez egitea, etab. Beraz, zehaztu beharko da zer jarduera diren nahitaezkoak edo ez, hau da, ea beharrezkoa den egitea edo gutxieneko nota bat lortzea irakasgaia bera gainditzeko. </w:t>
      </w:r>
    </w:p>
    <w:p w14:paraId="07AA1E1C" w14:textId="40D9A530" w:rsidR="005C5206" w:rsidRPr="006B11BA" w:rsidRDefault="6D018D1E" w:rsidP="00CC5955">
      <w:pPr>
        <w:pStyle w:val="Prrafodelista"/>
        <w:numPr>
          <w:ilvl w:val="0"/>
          <w:numId w:val="7"/>
        </w:numPr>
        <w:spacing w:before="120" w:after="120" w:line="360" w:lineRule="auto"/>
        <w:jc w:val="both"/>
        <w:rPr>
          <w:rFonts w:ascii="Arial" w:hAnsi="Arial" w:cs="Arial"/>
        </w:rPr>
      </w:pPr>
      <w:r>
        <w:rPr>
          <w:rFonts w:ascii="Arial" w:hAnsi="Arial"/>
        </w:rPr>
        <w:t>Irudia erregistratzea eskatzen duten ebaluazio-jardueretan (bideoa, argazkia...), irakasleak esplizituki eskatuko du ikaslearen baimena.</w:t>
      </w:r>
    </w:p>
    <w:p w14:paraId="2FBCA894" w14:textId="584B9F60" w:rsidR="00471D96" w:rsidRPr="006B11BA" w:rsidRDefault="79C87D06" w:rsidP="00CC5955">
      <w:pPr>
        <w:pStyle w:val="Prrafodelista"/>
        <w:numPr>
          <w:ilvl w:val="0"/>
          <w:numId w:val="7"/>
        </w:numPr>
        <w:spacing w:before="120" w:after="120" w:line="360" w:lineRule="auto"/>
        <w:jc w:val="both"/>
        <w:rPr>
          <w:rFonts w:ascii="Arial" w:hAnsi="Arial" w:cs="Arial"/>
        </w:rPr>
      </w:pPr>
      <w:r>
        <w:rPr>
          <w:rFonts w:ascii="Arial" w:hAnsi="Arial"/>
        </w:rPr>
        <w:t xml:space="preserve">Gutxienez hilabete lehenago, ebaluazioko azken proben egutegia argitaratuko da, horretarako gaitutako kanalen bidez. </w:t>
      </w:r>
    </w:p>
    <w:p w14:paraId="5F23422C" w14:textId="07811327" w:rsidR="005C5206" w:rsidRPr="006B11BA" w:rsidRDefault="005C5206" w:rsidP="00CC5955">
      <w:pPr>
        <w:pStyle w:val="Prrafodelista"/>
        <w:numPr>
          <w:ilvl w:val="0"/>
          <w:numId w:val="7"/>
        </w:numPr>
        <w:spacing w:before="120" w:after="120" w:line="360" w:lineRule="auto"/>
        <w:contextualSpacing w:val="0"/>
        <w:jc w:val="both"/>
        <w:rPr>
          <w:rFonts w:ascii="Arial" w:hAnsi="Arial" w:cs="Arial"/>
        </w:rPr>
      </w:pPr>
      <w:r>
        <w:rPr>
          <w:rFonts w:ascii="Arial" w:hAnsi="Arial"/>
        </w:rPr>
        <w:t xml:space="preserve">Ahal den neurrian, ikastaro bereko ebaluazio-proben programazioa egiten saiatuko da, ondoz ondoko probak hasten direnetik gutxienez 24 orduko tartea utzita. </w:t>
      </w:r>
    </w:p>
    <w:p w14:paraId="0B731C4C" w14:textId="5A39C10D" w:rsidR="003954B1" w:rsidRPr="006B11BA" w:rsidRDefault="79C87D06" w:rsidP="00CC5955">
      <w:pPr>
        <w:pStyle w:val="Prrafodelista"/>
        <w:numPr>
          <w:ilvl w:val="0"/>
          <w:numId w:val="7"/>
        </w:numPr>
        <w:spacing w:before="120" w:after="120" w:line="360" w:lineRule="auto"/>
        <w:jc w:val="both"/>
        <w:rPr>
          <w:rFonts w:ascii="Arial" w:hAnsi="Arial" w:cs="Arial"/>
        </w:rPr>
      </w:pPr>
      <w:r>
        <w:rPr>
          <w:rFonts w:ascii="Arial" w:hAnsi="Arial"/>
        </w:rPr>
        <w:t xml:space="preserve">Ezinbesteko arrazoiak direla-eta ebaluazioa ezin bada egin irakaskuntzako gidan/programazioan aurreikusita zegoen bezala, programazio berri bat ezarriko da, eta ikasleei aldaketen berri emango zaie, aldaketa horiek eragin ditzaketen eragozpenak minimizatzen saiatuz. </w:t>
      </w:r>
    </w:p>
    <w:p w14:paraId="456F448F" w14:textId="7E4D14F5" w:rsidR="003954B1" w:rsidRPr="006B11BA" w:rsidRDefault="79C87D06" w:rsidP="00CC5955">
      <w:pPr>
        <w:pStyle w:val="Prrafodelista"/>
        <w:numPr>
          <w:ilvl w:val="0"/>
          <w:numId w:val="7"/>
        </w:numPr>
        <w:spacing w:before="120" w:after="120" w:line="360" w:lineRule="auto"/>
        <w:jc w:val="both"/>
        <w:rPr>
          <w:rFonts w:ascii="Arial" w:hAnsi="Arial" w:cs="Arial"/>
        </w:rPr>
      </w:pPr>
      <w:r>
        <w:rPr>
          <w:rFonts w:ascii="Arial" w:hAnsi="Arial"/>
        </w:rPr>
        <w:t>Irakasleek ematen duten informazioaren eta irakaskuntzako gidan/programazioan jasotako informazioaren artean desadostasunik badago, azken horretan ezarritakoa gailenduko da. Nolanahi ere, irakasleek dokumentu horietan jasotakora egokitu behar dute.</w:t>
      </w:r>
    </w:p>
    <w:p w14:paraId="76145855" w14:textId="77777777" w:rsidR="003954B1" w:rsidRPr="006B11BA" w:rsidRDefault="003954B1" w:rsidP="006B11BA">
      <w:pPr>
        <w:pStyle w:val="Prrafodelista"/>
        <w:spacing w:before="120" w:after="120" w:line="360" w:lineRule="auto"/>
        <w:ind w:left="360"/>
        <w:contextualSpacing w:val="0"/>
        <w:jc w:val="both"/>
        <w:rPr>
          <w:rFonts w:ascii="Arial" w:hAnsi="Arial" w:cs="Arial"/>
        </w:rPr>
      </w:pPr>
    </w:p>
    <w:p w14:paraId="16308BAC" w14:textId="74C5C37C" w:rsidR="00201782" w:rsidRPr="009F382E" w:rsidRDefault="007A61A9" w:rsidP="009F382E">
      <w:pPr>
        <w:pStyle w:val="Estilo1"/>
      </w:pPr>
      <w:bookmarkStart w:id="7" w:name="_Toc200710055"/>
      <w:r>
        <w:t>Ebaluazio-sistemak</w:t>
      </w:r>
      <w:bookmarkEnd w:id="7"/>
    </w:p>
    <w:p w14:paraId="54855068" w14:textId="77777777" w:rsidR="00566B22" w:rsidRPr="006B11BA" w:rsidRDefault="77F5D5AA" w:rsidP="00CC5955">
      <w:pPr>
        <w:pStyle w:val="Prrafodelista"/>
        <w:numPr>
          <w:ilvl w:val="0"/>
          <w:numId w:val="2"/>
        </w:numPr>
        <w:spacing w:before="120" w:after="120" w:line="360" w:lineRule="auto"/>
        <w:jc w:val="both"/>
        <w:rPr>
          <w:rFonts w:ascii="Arial" w:hAnsi="Arial" w:cs="Arial"/>
        </w:rPr>
      </w:pPr>
      <w:r>
        <w:rPr>
          <w:rFonts w:ascii="Arial" w:hAnsi="Arial"/>
        </w:rPr>
        <w:t xml:space="preserve">Ebaluazio-sistemek askotariko izaera eta formatuko probak barne hartu ahal izango dituzte: teorikoa, praktikoa (proiektuak, lanak, teknika baten garapen praktikoa, etab.), azalpena, grafikoa (idatzizkoa, ahozkoa, multimedia edo beste euskarri </w:t>
      </w:r>
      <w:r>
        <w:rPr>
          <w:rFonts w:ascii="Arial" w:hAnsi="Arial"/>
        </w:rPr>
        <w:lastRenderedPageBreak/>
        <w:t xml:space="preserve">batzuk), irakaskuntza-gidan/-programazioan irakasgai bakoitzean ezarritakoaren arabera. </w:t>
      </w:r>
    </w:p>
    <w:p w14:paraId="434F81E1" w14:textId="0F784536" w:rsidR="55F70793" w:rsidRPr="006B11BA" w:rsidRDefault="55F70793" w:rsidP="00CC5955">
      <w:pPr>
        <w:pStyle w:val="Prrafodelista"/>
        <w:numPr>
          <w:ilvl w:val="0"/>
          <w:numId w:val="2"/>
        </w:numPr>
        <w:spacing w:before="120" w:after="120" w:line="360" w:lineRule="auto"/>
        <w:jc w:val="both"/>
        <w:rPr>
          <w:rFonts w:ascii="Arial" w:hAnsi="Arial" w:cs="Arial"/>
        </w:rPr>
      </w:pPr>
      <w:r>
        <w:rPr>
          <w:rFonts w:ascii="Arial" w:hAnsi="Arial"/>
        </w:rPr>
        <w:t xml:space="preserve">Ebaluazio-sistemek ebaluazio-probak eta -jarduerak aurreikusiko dituzte, eta proba eta jarduera horiek ebaluazio-proba globalak izan ahalko dituzte irakasgaien irakaskuntza-aldia amaitzean, irakaskuntza-gidak/-programazioak hala ezartzen duenean. Hala ere, ebaluazio-sistemek eskatu ahal izango dute ikasleak nahitaez parte har dezala irakaskuntza-aldian egin ez badira berreskuratu ezin diren jardueretan, baldin eta irakaskuntza-gidan eta -programan sartu badira eta gutxienez hamalau egun natural lehenago zehazten bada noiz egingo diren. </w:t>
      </w:r>
    </w:p>
    <w:p w14:paraId="1D829DF1" w14:textId="1B10D228" w:rsidR="003954B1" w:rsidRPr="006B11BA" w:rsidRDefault="44DD7EB7" w:rsidP="00CC5955">
      <w:pPr>
        <w:pStyle w:val="Prrafodelista"/>
        <w:numPr>
          <w:ilvl w:val="0"/>
          <w:numId w:val="2"/>
        </w:numPr>
        <w:spacing w:before="120" w:after="120" w:line="360" w:lineRule="auto"/>
        <w:jc w:val="both"/>
        <w:rPr>
          <w:rFonts w:ascii="Arial" w:hAnsi="Arial" w:cs="Arial"/>
        </w:rPr>
      </w:pPr>
      <w:r>
        <w:rPr>
          <w:rFonts w:ascii="Arial" w:hAnsi="Arial"/>
        </w:rPr>
        <w:t>Ezohiko deialdirako ezarritako ebaluazio-sistemak aukera eman beharko dio ikasleari irakasgaian kalifikazio gorena lortzeko, betiere irakaskuntza-gidan/-programazioan adierazitako nahitaezko jarduerak egin baditu. </w:t>
      </w:r>
    </w:p>
    <w:p w14:paraId="12D88504" w14:textId="77777777" w:rsidR="00EE5F10" w:rsidRPr="006B11BA" w:rsidRDefault="53CBC8B8" w:rsidP="00CC5955">
      <w:pPr>
        <w:pStyle w:val="Prrafodelista"/>
        <w:numPr>
          <w:ilvl w:val="0"/>
          <w:numId w:val="2"/>
        </w:numPr>
        <w:spacing w:before="120" w:after="120" w:line="360" w:lineRule="auto"/>
        <w:jc w:val="both"/>
        <w:rPr>
          <w:rFonts w:ascii="Arial" w:hAnsi="Arial" w:cs="Arial"/>
        </w:rPr>
      </w:pPr>
      <w:r>
        <w:rPr>
          <w:rFonts w:ascii="Arial" w:hAnsi="Arial"/>
        </w:rPr>
        <w:t>Ebaluazio-sistemek eta -irizpideek uniformeak izan behar dute irakasgai bereko talde guztietarako.</w:t>
      </w:r>
    </w:p>
    <w:p w14:paraId="08D5B949" w14:textId="77777777" w:rsidR="00453D39" w:rsidRPr="006B11BA" w:rsidRDefault="00453D39" w:rsidP="006B11BA">
      <w:pPr>
        <w:spacing w:before="120" w:after="120" w:line="360" w:lineRule="auto"/>
        <w:jc w:val="both"/>
        <w:rPr>
          <w:rFonts w:ascii="Arial" w:hAnsi="Arial" w:cs="Arial"/>
        </w:rPr>
      </w:pPr>
    </w:p>
    <w:p w14:paraId="5E7FDBD5" w14:textId="1AAE1374" w:rsidR="00D634E4" w:rsidRPr="006B11BA" w:rsidRDefault="00D634E4" w:rsidP="009F382E">
      <w:pPr>
        <w:pStyle w:val="Estilo1"/>
      </w:pPr>
      <w:bookmarkStart w:id="8" w:name="_Toc200710056"/>
      <w:r>
        <w:t>Ohiko eta ezohiko deialdiak</w:t>
      </w:r>
      <w:bookmarkEnd w:id="8"/>
      <w:r>
        <w:t xml:space="preserve"> </w:t>
      </w:r>
    </w:p>
    <w:p w14:paraId="68CE0026" w14:textId="1993B85A" w:rsidR="00D634E4" w:rsidRPr="006B11BA" w:rsidRDefault="1C069264" w:rsidP="00CC5955">
      <w:pPr>
        <w:pStyle w:val="Prrafodelista"/>
        <w:numPr>
          <w:ilvl w:val="0"/>
          <w:numId w:val="8"/>
        </w:numPr>
        <w:spacing w:before="120" w:after="120" w:line="360" w:lineRule="auto"/>
        <w:jc w:val="both"/>
        <w:rPr>
          <w:rFonts w:ascii="Arial" w:hAnsi="Arial" w:cs="Arial"/>
        </w:rPr>
      </w:pPr>
      <w:r>
        <w:rPr>
          <w:rFonts w:ascii="Arial" w:hAnsi="Arial"/>
        </w:rPr>
        <w:t xml:space="preserve">Ohiko deialdia (1. deialdia) dagokion eskola-aldia amaitzean amaituko da, egutegi akademikoan ezarritako egunetan. Deialdi honetan, ikaslea irakasgai bakoitzaren irakaskuntza-gidan/-programazioan definitutako irizpide eta prozeduren arabera ebaluatuko da, dagokion ebaluazio-sistemaren arabera. </w:t>
      </w:r>
    </w:p>
    <w:p w14:paraId="77B63F00" w14:textId="1BC15204" w:rsidR="00D634E4" w:rsidRPr="006B11BA" w:rsidRDefault="1C069264" w:rsidP="00CC5955">
      <w:pPr>
        <w:pStyle w:val="Prrafodelista"/>
        <w:numPr>
          <w:ilvl w:val="0"/>
          <w:numId w:val="8"/>
        </w:numPr>
        <w:spacing w:before="120" w:after="120" w:line="360" w:lineRule="auto"/>
        <w:jc w:val="both"/>
        <w:rPr>
          <w:rFonts w:ascii="Arial" w:hAnsi="Arial" w:cs="Arial"/>
        </w:rPr>
      </w:pPr>
      <w:r>
        <w:rPr>
          <w:rFonts w:ascii="Arial" w:hAnsi="Arial"/>
        </w:rPr>
        <w:t>Ezohiko deialdia (2. deialdia) geroago egingo da, egutegi akademikoan zehaztutakoaren arabera. Lehenengo deialdian irakasgaia gainditu ez dutenak aurkeztu ahal izango dira, indarrean dagoen araudiak baimendutako baldintzetan. Ebaluazio-irizpideak ikasgai bakoitzaren irakaskuntza-gidan/-programazioan zehaztutakoak izango dira.</w:t>
      </w:r>
    </w:p>
    <w:p w14:paraId="0219522C" w14:textId="030ACDE1" w:rsidR="00D634E4" w:rsidRPr="006B11BA" w:rsidRDefault="00D634E4" w:rsidP="00CC5955">
      <w:pPr>
        <w:pStyle w:val="Prrafodelista"/>
        <w:numPr>
          <w:ilvl w:val="0"/>
          <w:numId w:val="8"/>
        </w:numPr>
        <w:spacing w:before="120" w:after="120" w:line="360" w:lineRule="auto"/>
        <w:contextualSpacing w:val="0"/>
        <w:jc w:val="both"/>
        <w:rPr>
          <w:rFonts w:ascii="Arial" w:hAnsi="Arial" w:cs="Arial"/>
        </w:rPr>
      </w:pPr>
      <w:r>
        <w:rPr>
          <w:rFonts w:ascii="Arial" w:hAnsi="Arial"/>
        </w:rPr>
        <w:t>Deialdi bakoitzeko behin-behineko kalifikazioak argitaratzearekin batera, berrikuspen-datak argitaratuko dira. Data horietan, ikasleak bere kalifikazioak berrikusteko eskatu ahal izango die irakasgaiaz arduratzen diren irakasleei. Berrikuspen hori eskatzeko eta egiteko prozedura eta epe espezifikoak aurrerago zehazten dira ebaluazio-araudi honetan.</w:t>
      </w:r>
    </w:p>
    <w:p w14:paraId="7FBFC0CC" w14:textId="77777777" w:rsidR="007A61A9" w:rsidRPr="006B11BA" w:rsidRDefault="007A61A9" w:rsidP="006B11BA">
      <w:pPr>
        <w:spacing w:before="120" w:after="120" w:line="360" w:lineRule="auto"/>
        <w:jc w:val="both"/>
        <w:rPr>
          <w:rFonts w:ascii="Arial" w:hAnsi="Arial" w:cs="Arial"/>
        </w:rPr>
      </w:pPr>
    </w:p>
    <w:p w14:paraId="44694C65" w14:textId="6DE1966D" w:rsidR="00201782" w:rsidRPr="006B11BA" w:rsidRDefault="00A8240D" w:rsidP="009F382E">
      <w:pPr>
        <w:pStyle w:val="Estilo1"/>
      </w:pPr>
      <w:bookmarkStart w:id="9" w:name="_Toc200710057"/>
      <w:r>
        <w:t>Azterketen egutegia</w:t>
      </w:r>
      <w:bookmarkEnd w:id="9"/>
    </w:p>
    <w:p w14:paraId="25C3227A" w14:textId="086196D0" w:rsidR="00A8240D" w:rsidRDefault="00A8240D" w:rsidP="00CC5955">
      <w:pPr>
        <w:pStyle w:val="Prrafodelista"/>
        <w:numPr>
          <w:ilvl w:val="0"/>
          <w:numId w:val="9"/>
        </w:numPr>
        <w:spacing w:before="120" w:after="120" w:line="360" w:lineRule="auto"/>
        <w:jc w:val="both"/>
        <w:rPr>
          <w:rFonts w:ascii="Arial" w:hAnsi="Arial" w:cs="Arial"/>
        </w:rPr>
      </w:pPr>
      <w:r>
        <w:rPr>
          <w:rFonts w:ascii="Arial" w:hAnsi="Arial"/>
        </w:rPr>
        <w:lastRenderedPageBreak/>
        <w:t>Azterketen egutegia modu koordinatuan proposatuko da fakultate bakoitzean, eta azterlanaren koordinazioko arduradunak onartuko du. Hori Kontseilu Akademikoak berretsi beharko du, eta ohiko deialdia hasi baino hilabete lehenago argitaratu.</w:t>
      </w:r>
    </w:p>
    <w:p w14:paraId="3E424796" w14:textId="0B840242" w:rsidR="008C5BD8" w:rsidRPr="008C5BD8" w:rsidRDefault="008C5BD8" w:rsidP="00CC5955">
      <w:pPr>
        <w:pStyle w:val="Prrafodelista"/>
        <w:numPr>
          <w:ilvl w:val="0"/>
          <w:numId w:val="9"/>
        </w:numPr>
        <w:spacing w:before="120" w:after="120" w:line="360" w:lineRule="auto"/>
        <w:jc w:val="both"/>
        <w:rPr>
          <w:rFonts w:ascii="Arial" w:hAnsi="Arial" w:cs="Arial"/>
        </w:rPr>
      </w:pPr>
      <w:r>
        <w:rPr>
          <w:rFonts w:ascii="Arial" w:hAnsi="Arial"/>
        </w:rPr>
        <w:t xml:space="preserve">Irakasgai bakoitzeko irakasleak arduratuko dira campus birtualaren bidez argitaratzeaz eta ikasleari jakinarazteaz aurreikusitako ebaluazio-proba bakoitzerako aurreikusitako ordua eta ikasgelak. </w:t>
      </w:r>
    </w:p>
    <w:p w14:paraId="243C2416" w14:textId="3A814CAE" w:rsidR="00D45152" w:rsidRPr="006B11BA" w:rsidRDefault="00A8240D" w:rsidP="00CC5955">
      <w:pPr>
        <w:pStyle w:val="Prrafodelista"/>
        <w:numPr>
          <w:ilvl w:val="0"/>
          <w:numId w:val="9"/>
        </w:numPr>
        <w:spacing w:before="120" w:after="120" w:line="360" w:lineRule="auto"/>
        <w:jc w:val="both"/>
        <w:rPr>
          <w:rFonts w:ascii="Arial" w:hAnsi="Arial" w:cs="Arial"/>
        </w:rPr>
      </w:pPr>
      <w:r>
        <w:rPr>
          <w:rFonts w:ascii="Arial" w:hAnsi="Arial"/>
        </w:rPr>
        <w:t>Azterketen egutegia ezingo da aldatu salbuespenezko egoeretan izan ezik. Inguruabar horiek titulazioen arduradunek ebaluatuko dituzte, eta Dekanotzak/Dekanotzak berretsiko ditu, irakasleei eta ikasleen ordezkariei entzun ondoren. Gehienez ere 5 egun naturaleko epean, titulazioen arduradunei egoeraren berri ematen zaienetik aurrera, programazio berriaren berri emango da.</w:t>
      </w:r>
    </w:p>
    <w:p w14:paraId="77C8C422" w14:textId="77777777" w:rsidR="00FC1B16" w:rsidRPr="006B11BA" w:rsidRDefault="00FC1B16" w:rsidP="006B11BA">
      <w:pPr>
        <w:pStyle w:val="Prrafodelista"/>
        <w:spacing w:before="120" w:after="120" w:line="360" w:lineRule="auto"/>
        <w:ind w:left="360"/>
        <w:contextualSpacing w:val="0"/>
        <w:jc w:val="both"/>
        <w:rPr>
          <w:rFonts w:ascii="Arial" w:hAnsi="Arial" w:cs="Arial"/>
        </w:rPr>
      </w:pPr>
    </w:p>
    <w:p w14:paraId="293633FE" w14:textId="66B2A5F1" w:rsidR="00F047CC" w:rsidRPr="006B11BA" w:rsidRDefault="00F047CC" w:rsidP="009F382E">
      <w:pPr>
        <w:pStyle w:val="Estilo1"/>
      </w:pPr>
      <w:bookmarkStart w:id="10" w:name="_Toc200710058"/>
      <w:r>
        <w:t>Ebaluazio-data aldatzea</w:t>
      </w:r>
      <w:bookmarkEnd w:id="10"/>
    </w:p>
    <w:p w14:paraId="70D9466B" w14:textId="76B8898F" w:rsidR="00201782" w:rsidRPr="006B11BA" w:rsidRDefault="019434AF" w:rsidP="00CC5955">
      <w:pPr>
        <w:pStyle w:val="Prrafodelista"/>
        <w:numPr>
          <w:ilvl w:val="0"/>
          <w:numId w:val="10"/>
        </w:numPr>
        <w:spacing w:before="120" w:after="120" w:line="360" w:lineRule="auto"/>
        <w:jc w:val="both"/>
        <w:rPr>
          <w:rFonts w:ascii="Arial" w:hAnsi="Arial" w:cs="Arial"/>
        </w:rPr>
      </w:pPr>
      <w:r>
        <w:rPr>
          <w:rFonts w:ascii="Arial" w:hAnsi="Arial"/>
        </w:rPr>
        <w:t xml:space="preserve">Jarraian zehazten diren egoeretako batean dagoen ikasleak proba egiteko data aldatzeko eskatu ahal izango die parte hartzen duten irakasleei. Eskaerarekin batera, dagokion egiaztagiria aurkeztu beharko dute. </w:t>
      </w:r>
    </w:p>
    <w:p w14:paraId="08ECFDEA" w14:textId="457E43FB" w:rsidR="00967191" w:rsidRPr="006B11BA" w:rsidRDefault="00752B45" w:rsidP="00CC5955">
      <w:pPr>
        <w:pStyle w:val="Prrafodelista"/>
        <w:numPr>
          <w:ilvl w:val="1"/>
          <w:numId w:val="3"/>
        </w:numPr>
        <w:spacing w:before="120" w:after="120" w:line="360" w:lineRule="auto"/>
        <w:ind w:left="709"/>
        <w:contextualSpacing w:val="0"/>
        <w:jc w:val="both"/>
        <w:rPr>
          <w:rFonts w:ascii="Arial" w:hAnsi="Arial" w:cs="Arial"/>
        </w:rPr>
      </w:pPr>
      <w:r>
        <w:rPr>
          <w:rFonts w:ascii="Arial" w:hAnsi="Arial"/>
        </w:rPr>
        <w:t>Ikasleen ordezkaritza-organoren bateko kide diren ikasleak, araudiaren arabera bilera edo ekitaldi baterako deituta badaude.</w:t>
      </w:r>
    </w:p>
    <w:p w14:paraId="5F199C37" w14:textId="51C184D5" w:rsidR="00967191" w:rsidRPr="006B11BA" w:rsidRDefault="2E76CD53" w:rsidP="00CC5955">
      <w:pPr>
        <w:pStyle w:val="Prrafodelista"/>
        <w:numPr>
          <w:ilvl w:val="1"/>
          <w:numId w:val="3"/>
        </w:numPr>
        <w:spacing w:before="120" w:after="120" w:line="360" w:lineRule="auto"/>
        <w:ind w:left="709"/>
        <w:jc w:val="both"/>
        <w:rPr>
          <w:rFonts w:ascii="Arial" w:hAnsi="Arial" w:cs="Arial"/>
        </w:rPr>
      </w:pPr>
      <w:r>
        <w:rPr>
          <w:rFonts w:ascii="Arial" w:hAnsi="Arial"/>
        </w:rPr>
        <w:t>Ikasgai desberdinetan matrikula egin duten ikasleak, baldin eta horien azterketak egun eta ordu berean egiten badira. Kasu horretan, eskubidea azterketa horietako bati dagokio, eta ordua edo data behin bakarrik aldatu ahal izango da.</w:t>
      </w:r>
    </w:p>
    <w:p w14:paraId="2F9B3B64" w14:textId="77777777" w:rsidR="008C5BD8" w:rsidRDefault="008C5BD8" w:rsidP="00CC5955">
      <w:pPr>
        <w:pStyle w:val="Prrafodelista"/>
        <w:numPr>
          <w:ilvl w:val="1"/>
          <w:numId w:val="3"/>
        </w:numPr>
        <w:spacing w:before="120" w:after="120" w:line="360" w:lineRule="auto"/>
        <w:ind w:left="709"/>
        <w:jc w:val="both"/>
        <w:rPr>
          <w:rFonts w:ascii="Arial" w:hAnsi="Arial" w:cs="Arial"/>
        </w:rPr>
      </w:pPr>
      <w:r>
        <w:rPr>
          <w:rFonts w:ascii="Arial" w:hAnsi="Arial"/>
        </w:rPr>
        <w:t>Goi-mailako ikasle kirolariak edo errendimendu handiko kirolariak, azterketak kirol-jarduera arautuetan egiten badira.</w:t>
      </w:r>
    </w:p>
    <w:p w14:paraId="4941CE48" w14:textId="4015E326" w:rsidR="008C5BD8" w:rsidRPr="008C5BD8" w:rsidRDefault="41CCF284" w:rsidP="00CC5955">
      <w:pPr>
        <w:pStyle w:val="Prrafodelista"/>
        <w:numPr>
          <w:ilvl w:val="1"/>
          <w:numId w:val="3"/>
        </w:numPr>
        <w:spacing w:before="120" w:after="120" w:line="360" w:lineRule="auto"/>
        <w:ind w:left="709"/>
        <w:jc w:val="both"/>
        <w:rPr>
          <w:rFonts w:ascii="Arial" w:hAnsi="Arial" w:cs="Arial"/>
        </w:rPr>
      </w:pPr>
      <w:r>
        <w:rPr>
          <w:rFonts w:ascii="Arial" w:hAnsi="Arial"/>
        </w:rPr>
        <w:t>Ebaluazioaren egunean ospitaleratuta dauden ikasleak (edo gerora sortutako gaixotasun larri samarra dutenak) edo egoera horretan dagoen lehen mailako odol-ahaidetasunezko senide bat dutenak.</w:t>
      </w:r>
    </w:p>
    <w:p w14:paraId="3422209E" w14:textId="77777777" w:rsidR="0028357E" w:rsidRPr="006B11BA" w:rsidRDefault="0028357E" w:rsidP="00CC5955">
      <w:pPr>
        <w:pStyle w:val="Prrafodelista"/>
        <w:numPr>
          <w:ilvl w:val="1"/>
          <w:numId w:val="3"/>
        </w:numPr>
        <w:spacing w:before="120" w:after="120" w:line="360" w:lineRule="auto"/>
        <w:ind w:left="709"/>
        <w:jc w:val="both"/>
        <w:rPr>
          <w:rFonts w:ascii="Arial" w:hAnsi="Arial" w:cs="Arial"/>
        </w:rPr>
      </w:pPr>
      <w:r>
        <w:rPr>
          <w:rFonts w:ascii="Arial" w:hAnsi="Arial"/>
        </w:rPr>
        <w:t>Odol-ahaidetasunezko lehen mailako ahaide baten heriotza azterketaren egunean edo aurreko lau egunetan.</w:t>
      </w:r>
    </w:p>
    <w:p w14:paraId="08DCDF05" w14:textId="58013349" w:rsidR="008C5BD8" w:rsidRPr="006B11BA" w:rsidRDefault="008C5BD8" w:rsidP="00CC5955">
      <w:pPr>
        <w:pStyle w:val="Prrafodelista"/>
        <w:numPr>
          <w:ilvl w:val="1"/>
          <w:numId w:val="3"/>
        </w:numPr>
        <w:spacing w:before="120" w:after="120" w:line="360" w:lineRule="auto"/>
        <w:ind w:left="709"/>
        <w:jc w:val="both"/>
        <w:rPr>
          <w:rFonts w:ascii="Arial" w:hAnsi="Arial" w:cs="Arial"/>
        </w:rPr>
      </w:pPr>
      <w:r>
        <w:rPr>
          <w:rFonts w:ascii="Arial" w:hAnsi="Arial"/>
        </w:rPr>
        <w:t>Zitazio judiziala duten ikasleak.</w:t>
      </w:r>
    </w:p>
    <w:p w14:paraId="63BAF4FB" w14:textId="212E5287" w:rsidR="0028357E" w:rsidRPr="006B11BA" w:rsidRDefault="00DA1A45" w:rsidP="00CC5955">
      <w:pPr>
        <w:pStyle w:val="Prrafodelista"/>
        <w:numPr>
          <w:ilvl w:val="0"/>
          <w:numId w:val="10"/>
        </w:numPr>
        <w:spacing w:before="120" w:after="120" w:line="360" w:lineRule="auto"/>
        <w:jc w:val="both"/>
        <w:rPr>
          <w:rFonts w:ascii="Arial" w:hAnsi="Arial" w:cs="Arial"/>
        </w:rPr>
      </w:pPr>
      <w:r>
        <w:rPr>
          <w:rFonts w:ascii="Arial" w:hAnsi="Arial"/>
        </w:rPr>
        <w:t xml:space="preserve">Aurreko puntuen arabera, ebaluazio-data aldatzeko eskaera inplikatutako irakasleei egin beharko zaie, jakinarazpena egin eta 5 egun naturaleko epean. d), e) edo f) puntuak ustekabean sortu ahal izango dira; kasu horietan, ikasleak data aldatzeko eskatu ahal izango die inplikatutako irakasleei, probaren egun berera arte. </w:t>
      </w:r>
    </w:p>
    <w:p w14:paraId="00B95F20" w14:textId="4AC146E1" w:rsidR="77C577E3" w:rsidRPr="006B11BA" w:rsidRDefault="77C577E3" w:rsidP="006B11BA">
      <w:pPr>
        <w:spacing w:before="120" w:after="120" w:line="360" w:lineRule="auto"/>
        <w:jc w:val="both"/>
        <w:rPr>
          <w:rFonts w:ascii="Arial" w:hAnsi="Arial" w:cs="Arial"/>
          <w:b/>
          <w:bCs/>
          <w:highlight w:val="green"/>
        </w:rPr>
      </w:pPr>
    </w:p>
    <w:p w14:paraId="03E64DDF" w14:textId="69F2E820" w:rsidR="00AA6213" w:rsidRPr="006B11BA" w:rsidRDefault="00213CB9" w:rsidP="009F382E">
      <w:pPr>
        <w:pStyle w:val="Estilo1"/>
      </w:pPr>
      <w:bookmarkStart w:id="11" w:name="_Toc200710059"/>
      <w:r>
        <w:lastRenderedPageBreak/>
        <w:t>Azterketak zaintzea</w:t>
      </w:r>
      <w:bookmarkEnd w:id="11"/>
    </w:p>
    <w:p w14:paraId="084AABD3" w14:textId="4EE0A6EC" w:rsidR="63C954AD" w:rsidRPr="006B11BA" w:rsidRDefault="63C954AD" w:rsidP="00CC5955">
      <w:pPr>
        <w:pStyle w:val="Prrafodelista"/>
        <w:numPr>
          <w:ilvl w:val="0"/>
          <w:numId w:val="11"/>
        </w:numPr>
        <w:spacing w:before="120" w:after="120" w:line="360" w:lineRule="auto"/>
        <w:contextualSpacing w:val="0"/>
        <w:jc w:val="both"/>
        <w:rPr>
          <w:rFonts w:ascii="Arial" w:hAnsi="Arial" w:cs="Arial"/>
        </w:rPr>
      </w:pPr>
      <w:r>
        <w:rPr>
          <w:rFonts w:ascii="Arial" w:hAnsi="Arial"/>
        </w:rPr>
        <w:t>Irakasgaiaren irakasle titularrak edo ebaluatu beharreko edukiaren arduradunak nahitaez egon behar du bertan, eta irakasgai horri dagozkion azterketak zaintzen eta gainbegiratzen parte hartu behar du. Ezintasun materialik ez badago, azterketa bat egiten den areto bakoitzak irakasgaiko irakasle-taldeko pertsona bat izan beharko du gutxienez.</w:t>
      </w:r>
    </w:p>
    <w:p w14:paraId="77B3239B" w14:textId="2E986859" w:rsidR="2025EB72" w:rsidRPr="006B11BA" w:rsidRDefault="2025EB72" w:rsidP="00CC5955">
      <w:pPr>
        <w:pStyle w:val="Prrafodelista"/>
        <w:numPr>
          <w:ilvl w:val="0"/>
          <w:numId w:val="11"/>
        </w:numPr>
        <w:spacing w:before="120" w:after="120" w:line="360" w:lineRule="auto"/>
        <w:contextualSpacing w:val="0"/>
        <w:jc w:val="both"/>
        <w:rPr>
          <w:rFonts w:ascii="Arial" w:hAnsi="Arial" w:cs="Arial"/>
        </w:rPr>
      </w:pPr>
      <w:r>
        <w:rPr>
          <w:rFonts w:ascii="Arial" w:hAnsi="Arial"/>
        </w:rPr>
        <w:t>Irakasle guztien betebeharra da beste irakasgai batzuetako azterketak zaintzen eta gainbegiratzen laguntzea, unibertsitatearen antolaketa-beharren arabera.</w:t>
      </w:r>
    </w:p>
    <w:p w14:paraId="292867D2" w14:textId="27E7DE8C" w:rsidR="0565D934" w:rsidRPr="006B11BA" w:rsidRDefault="0565D934" w:rsidP="00CC5955">
      <w:pPr>
        <w:pStyle w:val="Prrafodelista"/>
        <w:numPr>
          <w:ilvl w:val="0"/>
          <w:numId w:val="11"/>
        </w:numPr>
        <w:spacing w:before="120" w:after="120" w:line="360" w:lineRule="auto"/>
        <w:contextualSpacing w:val="0"/>
        <w:jc w:val="both"/>
        <w:rPr>
          <w:rFonts w:ascii="Arial" w:hAnsi="Arial" w:cs="Arial"/>
        </w:rPr>
      </w:pPr>
      <w:r>
        <w:rPr>
          <w:rFonts w:ascii="Arial" w:hAnsi="Arial"/>
        </w:rPr>
        <w:t xml:space="preserve">Gainbegiratze-txandak planifikatzea eta koordinatzea titulazioaren arduradunari dagokio, eta, irakasleei kontsulta egin ondoren, kide bakoitzaren irakaskuntza-kargarekin bat datorren banaketa </w:t>
      </w:r>
      <w:proofErr w:type="spellStart"/>
      <w:r>
        <w:rPr>
          <w:rFonts w:ascii="Arial" w:hAnsi="Arial"/>
        </w:rPr>
        <w:t>ekitatiboa</w:t>
      </w:r>
      <w:proofErr w:type="spellEnd"/>
      <w:r>
        <w:rPr>
          <w:rFonts w:ascii="Arial" w:hAnsi="Arial"/>
        </w:rPr>
        <w:t xml:space="preserve"> bermatuko du.</w:t>
      </w:r>
    </w:p>
    <w:p w14:paraId="091DA392" w14:textId="368C1667" w:rsidR="77C577E3" w:rsidRPr="006B11BA" w:rsidRDefault="77C577E3" w:rsidP="006B11BA">
      <w:pPr>
        <w:spacing w:before="120" w:after="120" w:line="360" w:lineRule="auto"/>
        <w:jc w:val="both"/>
        <w:rPr>
          <w:rFonts w:ascii="Arial" w:hAnsi="Arial" w:cs="Arial"/>
          <w:b/>
          <w:bCs/>
        </w:rPr>
      </w:pPr>
    </w:p>
    <w:p w14:paraId="37023139" w14:textId="56E5CB17" w:rsidR="00A81F48" w:rsidRPr="006B11BA" w:rsidRDefault="00A81F48" w:rsidP="009F382E">
      <w:pPr>
        <w:pStyle w:val="Estilo1"/>
      </w:pPr>
      <w:bookmarkStart w:id="12" w:name="_Toc200710060"/>
      <w:r>
        <w:t>Ebaluazio-proben plangintza eta garapena</w:t>
      </w:r>
      <w:bookmarkEnd w:id="12"/>
    </w:p>
    <w:p w14:paraId="69614C94" w14:textId="77C94945" w:rsidR="31A10589" w:rsidRPr="006B11BA" w:rsidRDefault="31A10589" w:rsidP="00CC5955">
      <w:pPr>
        <w:pStyle w:val="Prrafodelista"/>
        <w:numPr>
          <w:ilvl w:val="0"/>
          <w:numId w:val="12"/>
        </w:numPr>
        <w:spacing w:before="120" w:after="120" w:line="360" w:lineRule="auto"/>
        <w:contextualSpacing w:val="0"/>
        <w:jc w:val="both"/>
        <w:rPr>
          <w:rFonts w:ascii="Arial" w:hAnsi="Arial" w:cs="Arial"/>
        </w:rPr>
      </w:pPr>
      <w:r>
        <w:rPr>
          <w:rFonts w:ascii="Arial" w:hAnsi="Arial"/>
          <w:u w:val="single"/>
        </w:rPr>
        <w:t>Sarbidea eta atzerapenak:</w:t>
      </w:r>
      <w:r>
        <w:rPr>
          <w:rFonts w:ascii="Arial" w:hAnsi="Arial"/>
        </w:rPr>
        <w:t xml:space="preserve"> Ezarritako ordutegi ofizialean proba hasi ondoren, ikasleari lehen hamabost minutuetan sartzeko aukera emango zaio, betiere atzerapena behar bezala justifikatzen badu. Une horretan ezin badu egiaztatu alegatutako kausa, geroago aurkezteko eskatu ahal izango zaio. Lehen hamabost minutu horietan, ezin izango da inor azterketa-gelatik atera. Eragindako pertsona beste une batean ebaluatuko da, inplikatutako irakasleek zehazten dituzten egokitzapenekin.</w:t>
      </w:r>
    </w:p>
    <w:p w14:paraId="7E76B2E3" w14:textId="40EDD3E3" w:rsidR="285415CA" w:rsidRPr="006B11BA" w:rsidRDefault="285415CA" w:rsidP="00CC5955">
      <w:pPr>
        <w:pStyle w:val="Prrafodelista"/>
        <w:numPr>
          <w:ilvl w:val="0"/>
          <w:numId w:val="12"/>
        </w:numPr>
        <w:spacing w:before="120" w:after="120" w:line="360" w:lineRule="auto"/>
        <w:contextualSpacing w:val="0"/>
        <w:jc w:val="both"/>
        <w:rPr>
          <w:rFonts w:ascii="Arial" w:hAnsi="Arial" w:cs="Arial"/>
        </w:rPr>
      </w:pPr>
      <w:r>
        <w:rPr>
          <w:rFonts w:ascii="Arial" w:hAnsi="Arial"/>
          <w:u w:val="single"/>
        </w:rPr>
        <w:t>Ikaslearen identifikazioa:</w:t>
      </w:r>
      <w:r>
        <w:rPr>
          <w:rFonts w:ascii="Arial" w:hAnsi="Arial"/>
        </w:rPr>
        <w:t xml:space="preserve"> Proba egiten den edozein unetan, irakasleek ikaslearen identifikazioa eskatu ahal izango dute. Horretarako, unibertsitate-txartela, nortasun-agiri nazionala, pasaportea edo gainbegiratzeaz arduratzen den pertsonaren iritziz nahikoa den beste edozein bitarteko aurkeztu beharko du.</w:t>
      </w:r>
    </w:p>
    <w:p w14:paraId="142EF0F0" w14:textId="747843E9" w:rsidR="00A81F48" w:rsidRPr="006B11BA" w:rsidRDefault="3338096A" w:rsidP="00CC5955">
      <w:pPr>
        <w:pStyle w:val="Prrafodelista"/>
        <w:numPr>
          <w:ilvl w:val="0"/>
          <w:numId w:val="12"/>
        </w:numPr>
        <w:spacing w:before="120" w:after="120" w:line="360" w:lineRule="auto"/>
        <w:contextualSpacing w:val="0"/>
        <w:jc w:val="both"/>
        <w:rPr>
          <w:rFonts w:ascii="Arial" w:hAnsi="Arial" w:cs="Arial"/>
        </w:rPr>
      </w:pPr>
      <w:r>
        <w:rPr>
          <w:rFonts w:ascii="Arial" w:hAnsi="Arial"/>
          <w:u w:val="single"/>
        </w:rPr>
        <w:t>Iruzurra eta zehapenak:</w:t>
      </w:r>
      <w:r>
        <w:rPr>
          <w:rFonts w:ascii="Arial" w:hAnsi="Arial"/>
        </w:rPr>
        <w:t xml:space="preserve"> Proban iruzur-saiakera bat modu frogagarrian detektatzen bada, 0 emango zaio inplikatutako pertsona bakoitzari dagokion ebaluazio-jardueran, sor daitezkeen beste erantzukizun batzuk alde batera utzi gabe. Proba egiten ari den bitartean detektatzen bada iruzurra, berehala eten ahal izango da proba inplikatutako pertsonarentzat edo pertsonentzat.</w:t>
      </w:r>
    </w:p>
    <w:p w14:paraId="2CBC0AD1" w14:textId="24B93D84" w:rsidR="2B2B8D95" w:rsidRPr="006B11BA" w:rsidRDefault="2B2B8D95" w:rsidP="00CC5955">
      <w:pPr>
        <w:pStyle w:val="Prrafodelista"/>
        <w:numPr>
          <w:ilvl w:val="0"/>
          <w:numId w:val="12"/>
        </w:numPr>
        <w:spacing w:before="120" w:after="120" w:line="360" w:lineRule="auto"/>
        <w:jc w:val="both"/>
        <w:rPr>
          <w:rFonts w:ascii="Arial" w:hAnsi="Arial" w:cs="Arial"/>
        </w:rPr>
      </w:pPr>
      <w:r>
        <w:rPr>
          <w:rFonts w:ascii="Arial" w:hAnsi="Arial"/>
          <w:u w:val="single"/>
        </w:rPr>
        <w:t>Egokitzapenak ebaluazio-probetan:</w:t>
      </w:r>
      <w:r>
        <w:rPr>
          <w:rFonts w:ascii="Arial" w:hAnsi="Arial"/>
        </w:rPr>
        <w:t xml:space="preserve"> Irakasgaiaz arduratzen diren irakasleek, ahal den neurrian, hezkuntza-premia espezifikoak dituzten ikasleentzako ebaluazio-probetan beharrezkoak diren egokitzapenak egin beharko dituzte, baldin eta aldez </w:t>
      </w:r>
      <w:r>
        <w:rPr>
          <w:rFonts w:ascii="Arial" w:hAnsi="Arial"/>
        </w:rPr>
        <w:lastRenderedPageBreak/>
        <w:t>aurretik egiaztatu badute, unibertsitatearen araudian ezarritakoaren arabera, eta hala adierazi bazaie, proba horiek egiteko bidezko baldintzak bermatuta. Egokitzapen horietan, besteak beste, formatua, iraupena, ingurunea edo erabilitako bitartekoak doitu ahal izango dira. Egokitzapen horiek inola ere ez dute ekarriko ikasgaiaren ikaskuntza-helburuak aldatzea, ezta gainerako ikasleekiko eskakizun- edo zailtasun-maila aldatzea ere.</w:t>
      </w:r>
    </w:p>
    <w:p w14:paraId="7692B510" w14:textId="77777777" w:rsidR="00B96636" w:rsidRPr="006B11BA" w:rsidRDefault="00B96636" w:rsidP="006B11BA">
      <w:pPr>
        <w:pStyle w:val="Prrafodelista"/>
        <w:spacing w:before="120" w:after="120" w:line="360" w:lineRule="auto"/>
        <w:ind w:left="360"/>
        <w:contextualSpacing w:val="0"/>
        <w:jc w:val="both"/>
        <w:rPr>
          <w:rFonts w:ascii="Arial" w:hAnsi="Arial" w:cs="Arial"/>
        </w:rPr>
      </w:pPr>
    </w:p>
    <w:p w14:paraId="4F0835D3" w14:textId="479A1A6B" w:rsidR="009B406B" w:rsidRPr="006B11BA" w:rsidRDefault="009B406B" w:rsidP="009F382E">
      <w:pPr>
        <w:pStyle w:val="Estilo1"/>
      </w:pPr>
      <w:bookmarkStart w:id="13" w:name="_Toc200710061"/>
      <w:r>
        <w:t>Kalifikazioak eta aktak</w:t>
      </w:r>
      <w:bookmarkEnd w:id="13"/>
    </w:p>
    <w:p w14:paraId="0905B17A" w14:textId="735947FF" w:rsidR="009B406B" w:rsidRPr="006B11BA" w:rsidRDefault="009B406B" w:rsidP="00CC5955">
      <w:pPr>
        <w:pStyle w:val="Prrafodelista"/>
        <w:numPr>
          <w:ilvl w:val="0"/>
          <w:numId w:val="13"/>
        </w:numPr>
        <w:spacing w:before="120" w:after="120" w:line="360" w:lineRule="auto"/>
        <w:contextualSpacing w:val="0"/>
        <w:jc w:val="both"/>
        <w:rPr>
          <w:rFonts w:ascii="Arial" w:hAnsi="Arial" w:cs="Arial"/>
        </w:rPr>
      </w:pPr>
      <w:r>
        <w:rPr>
          <w:rFonts w:ascii="Arial" w:hAnsi="Arial"/>
        </w:rPr>
        <w:t>1125/2003 Errege Dekretuan xedatutakoa aplikatuz, ikasketa-plana osatzen duten irakasgai bakoitza 0 eta 10 puntu arteko zenbakizko eskalaren arabera kalifikatuko da, dezimal bat adieraziz, eta dagokion kalifikazio kualitatiboa gehitu ahal izango zaio:</w:t>
      </w:r>
    </w:p>
    <w:p w14:paraId="3A765649" w14:textId="77777777" w:rsidR="009B406B" w:rsidRPr="006B11BA" w:rsidRDefault="009B406B" w:rsidP="00CC5955">
      <w:pPr>
        <w:pStyle w:val="Prrafodelista"/>
        <w:numPr>
          <w:ilvl w:val="1"/>
          <w:numId w:val="4"/>
        </w:numPr>
        <w:spacing w:before="120" w:after="120" w:line="360" w:lineRule="auto"/>
        <w:jc w:val="both"/>
        <w:rPr>
          <w:rFonts w:ascii="Arial" w:hAnsi="Arial" w:cs="Arial"/>
        </w:rPr>
      </w:pPr>
      <w:r>
        <w:rPr>
          <w:rFonts w:ascii="Arial" w:hAnsi="Arial"/>
        </w:rPr>
        <w:t>0tik 4,9ra Gutxiegi (GT).</w:t>
      </w:r>
    </w:p>
    <w:p w14:paraId="68D8F480" w14:textId="77777777" w:rsidR="009B406B" w:rsidRPr="006B11BA" w:rsidRDefault="009B406B" w:rsidP="00CC5955">
      <w:pPr>
        <w:pStyle w:val="Prrafodelista"/>
        <w:numPr>
          <w:ilvl w:val="1"/>
          <w:numId w:val="4"/>
        </w:numPr>
        <w:spacing w:before="120" w:after="120" w:line="360" w:lineRule="auto"/>
        <w:contextualSpacing w:val="0"/>
        <w:jc w:val="both"/>
        <w:rPr>
          <w:rFonts w:ascii="Arial" w:hAnsi="Arial" w:cs="Arial"/>
        </w:rPr>
      </w:pPr>
      <w:r>
        <w:rPr>
          <w:rFonts w:ascii="Arial" w:hAnsi="Arial"/>
        </w:rPr>
        <w:t>5etik 6,9ra Nahikoa (NK).</w:t>
      </w:r>
    </w:p>
    <w:p w14:paraId="6628C55D" w14:textId="77777777" w:rsidR="009B406B" w:rsidRPr="006B11BA" w:rsidRDefault="009B406B" w:rsidP="00CC5955">
      <w:pPr>
        <w:pStyle w:val="Prrafodelista"/>
        <w:numPr>
          <w:ilvl w:val="1"/>
          <w:numId w:val="4"/>
        </w:numPr>
        <w:spacing w:before="120" w:after="120" w:line="360" w:lineRule="auto"/>
        <w:contextualSpacing w:val="0"/>
        <w:jc w:val="both"/>
        <w:rPr>
          <w:rFonts w:ascii="Arial" w:hAnsi="Arial" w:cs="Arial"/>
        </w:rPr>
      </w:pPr>
      <w:r>
        <w:rPr>
          <w:rFonts w:ascii="Arial" w:hAnsi="Arial"/>
        </w:rPr>
        <w:t>7tik 8,9ra Oso Ongi (OO).</w:t>
      </w:r>
    </w:p>
    <w:p w14:paraId="45286C15" w14:textId="77777777" w:rsidR="009B406B" w:rsidRPr="006B11BA" w:rsidRDefault="009B406B" w:rsidP="00CC5955">
      <w:pPr>
        <w:pStyle w:val="Prrafodelista"/>
        <w:numPr>
          <w:ilvl w:val="1"/>
          <w:numId w:val="4"/>
        </w:numPr>
        <w:spacing w:before="120" w:after="120" w:line="360" w:lineRule="auto"/>
        <w:contextualSpacing w:val="0"/>
        <w:jc w:val="both"/>
        <w:rPr>
          <w:rFonts w:ascii="Arial" w:hAnsi="Arial" w:cs="Arial"/>
        </w:rPr>
      </w:pPr>
      <w:r>
        <w:rPr>
          <w:rFonts w:ascii="Arial" w:hAnsi="Arial"/>
        </w:rPr>
        <w:t>9tik 10era Bikain (BI).</w:t>
      </w:r>
    </w:p>
    <w:p w14:paraId="3AC73FAA" w14:textId="57B36C53" w:rsidR="009B406B" w:rsidRPr="006B11BA" w:rsidRDefault="0977333C" w:rsidP="00CC5955">
      <w:pPr>
        <w:pStyle w:val="Prrafodelista"/>
        <w:numPr>
          <w:ilvl w:val="0"/>
          <w:numId w:val="13"/>
        </w:numPr>
        <w:spacing w:before="120" w:after="120" w:line="360" w:lineRule="auto"/>
        <w:contextualSpacing w:val="0"/>
        <w:jc w:val="both"/>
        <w:rPr>
          <w:rFonts w:ascii="Arial" w:hAnsi="Arial" w:cs="Arial"/>
        </w:rPr>
      </w:pPr>
      <w:r>
        <w:rPr>
          <w:rFonts w:ascii="Arial" w:hAnsi="Arial"/>
        </w:rPr>
        <w:t xml:space="preserve">Ohorezko matrikula aparteko </w:t>
      </w:r>
      <w:proofErr w:type="spellStart"/>
      <w:r>
        <w:rPr>
          <w:rFonts w:ascii="Arial" w:hAnsi="Arial"/>
        </w:rPr>
        <w:t>aintzatespen</w:t>
      </w:r>
      <w:proofErr w:type="spellEnd"/>
      <w:r>
        <w:rPr>
          <w:rFonts w:ascii="Arial" w:hAnsi="Arial"/>
        </w:rPr>
        <w:t xml:space="preserve"> akademikoa da, eta irakasleek ematen diete bikain kalifikazioa (BI) lortu duten ikasleei. Irakasgai batean Ohorezko Matrikularen aipamenen kopuruak ezin izango du gainditu dagokion ikasturtean matrikulatutako ikaslearen % 5. 20 ikasle baino gutxiagoko taldeen kasuan, gehienez bat eman ahal izango da. Ohorezko matrikula ezin izango da aldatu aurretik egindako beste ikasgai batzuetatik aitortutako ikasgaietara. Kasu horietan, kalifikazioa Bikain (BI) izango da, jatorrizko ikasgaian edo irakasgaietan lortutako puntuazioarekin. Ohorezko matrikula ezingo zaie eman truke-programetako ikasleei edo bisitariei, ez baitaude matrikulatuta titulu ofizial bat lortzera bideratutako ikasketa-planetako ikasgaietan.</w:t>
      </w:r>
    </w:p>
    <w:p w14:paraId="15DFDE36" w14:textId="37E65C74" w:rsidR="009B406B" w:rsidRPr="006B11BA" w:rsidRDefault="073BDB2D" w:rsidP="00CC5955">
      <w:pPr>
        <w:pStyle w:val="Prrafodelista"/>
        <w:numPr>
          <w:ilvl w:val="0"/>
          <w:numId w:val="13"/>
        </w:numPr>
        <w:spacing w:before="120" w:after="120" w:line="360" w:lineRule="auto"/>
        <w:jc w:val="both"/>
        <w:rPr>
          <w:rFonts w:ascii="Arial" w:hAnsi="Arial" w:cs="Arial"/>
        </w:rPr>
      </w:pPr>
      <w:r>
        <w:rPr>
          <w:rFonts w:ascii="Arial" w:hAnsi="Arial"/>
        </w:rPr>
        <w:t>Aitortutako ikasgaiek kreditu baliokideen kalifikazio bera izango dute. Jatorrizko unibertsitatean egindako zenbait irakasgaitik aurrera aitortutako irakasgaien kasuan, kalifikazioa irakasgai horien batez besteko haztatua izango da, bakoitzari dagozkion kreditu-kopuruaren arabera.</w:t>
      </w:r>
    </w:p>
    <w:p w14:paraId="266167CC" w14:textId="607AB911" w:rsidR="0A5788AF" w:rsidRPr="006B11BA" w:rsidRDefault="0A5788AF" w:rsidP="00CC5955">
      <w:pPr>
        <w:pStyle w:val="Prrafodelista"/>
        <w:numPr>
          <w:ilvl w:val="0"/>
          <w:numId w:val="13"/>
        </w:numPr>
        <w:spacing w:before="120" w:after="120" w:line="360" w:lineRule="auto"/>
        <w:jc w:val="both"/>
        <w:rPr>
          <w:rFonts w:ascii="Arial" w:hAnsi="Arial" w:cs="Arial"/>
        </w:rPr>
      </w:pPr>
      <w:r>
        <w:rPr>
          <w:rFonts w:ascii="Arial" w:hAnsi="Arial"/>
        </w:rPr>
        <w:t>Ez aurkeztutzat joko da (EA) ebaluazio-jarduerarik egiten ez duen ikasle matrikulatua. Ikasleak etengabeko ebaluazioan lortutako kalifikazio partzialak kalifikazio horien batez besteko nota haztatuaren bidez islatuko dira, irakaskuntza-</w:t>
      </w:r>
      <w:r>
        <w:rPr>
          <w:rFonts w:ascii="Arial" w:hAnsi="Arial"/>
        </w:rPr>
        <w:lastRenderedPageBreak/>
        <w:t>gidan/-programazioan aurreikusitakoaren arabera. Kalifikaziorik ez duten jarduerei 0 esleituko zaie haztapenean. Ohiko edo ezohiko ebaluazioa amaitzean ikasle batek 5 edo gehiagoko batez besteko nota lortzen badu, baina irakasgaia gainditzeko beharrezko baldintzaren bat bete ez badu, aktan adierazitako kalifikazioa 4,9 izango da (Gutxiegi - GT).</w:t>
      </w:r>
    </w:p>
    <w:p w14:paraId="4F2BA9CB" w14:textId="69B8246B" w:rsidR="13FB9E7F" w:rsidRPr="006B11BA" w:rsidRDefault="13FB9E7F" w:rsidP="00CC5955">
      <w:pPr>
        <w:pStyle w:val="Prrafodelista"/>
        <w:numPr>
          <w:ilvl w:val="0"/>
          <w:numId w:val="13"/>
        </w:numPr>
        <w:spacing w:before="120" w:after="120" w:line="360" w:lineRule="auto"/>
        <w:jc w:val="both"/>
        <w:rPr>
          <w:rFonts w:ascii="Arial" w:hAnsi="Arial" w:cs="Arial"/>
        </w:rPr>
      </w:pPr>
      <w:r>
        <w:rPr>
          <w:rFonts w:ascii="Arial" w:hAnsi="Arial"/>
        </w:rPr>
        <w:t xml:space="preserve">Ikasketa-espedientearen batez besteko nota formula honen bidez kalkulatuko da: Irakasgai bakoitzean lortutako kredituen eta dagokion kalifikazioaren balioaren arteko biderkadura batuko da. Emaitza zati ikasleak guztira lortutako kreditu-kopurua egingo da. Ondorio horietarako, EA 0,0 izango da. Batez besteko nota kalkulatzeko, ez dira kontuan hartuko kalifikaziorik gabe aitortutako kredituak, hala nola lan-esperientziatik edo lanbide-esperientziatik, unibertsitate-ikasketa ez-ofizialetatik edo curriculumetik kanpoko jardueretatik eratorritakoak. Batez besteko nota kalkulatzeko, ez dira kontuan hartuko kultura-, kirol-, ikasleen ordezkaritza-, elkartasun- edo lankidetza-jardueretan parte </w:t>
      </w:r>
      <w:proofErr w:type="spellStart"/>
      <w:r>
        <w:rPr>
          <w:rFonts w:ascii="Arial" w:hAnsi="Arial"/>
        </w:rPr>
        <w:t>hartzeagatiko</w:t>
      </w:r>
      <w:proofErr w:type="spellEnd"/>
      <w:r>
        <w:rPr>
          <w:rFonts w:ascii="Arial" w:hAnsi="Arial"/>
        </w:rPr>
        <w:t xml:space="preserve"> </w:t>
      </w:r>
      <w:proofErr w:type="spellStart"/>
      <w:r>
        <w:rPr>
          <w:rFonts w:ascii="Arial" w:hAnsi="Arial"/>
        </w:rPr>
        <w:t>aintzatespen</w:t>
      </w:r>
      <w:proofErr w:type="spellEnd"/>
      <w:r>
        <w:rPr>
          <w:rFonts w:ascii="Arial" w:hAnsi="Arial"/>
        </w:rPr>
        <w:t xml:space="preserve"> akademikoko kredituak.</w:t>
      </w:r>
    </w:p>
    <w:p w14:paraId="039D2E81" w14:textId="70648AAC" w:rsidR="77C577E3" w:rsidRPr="006B11BA" w:rsidRDefault="77C577E3" w:rsidP="006B11BA">
      <w:pPr>
        <w:pStyle w:val="Prrafodelista"/>
        <w:spacing w:before="120" w:after="120" w:line="360" w:lineRule="auto"/>
        <w:ind w:left="360"/>
        <w:contextualSpacing w:val="0"/>
        <w:jc w:val="both"/>
        <w:rPr>
          <w:rFonts w:ascii="Arial" w:hAnsi="Arial" w:cs="Arial"/>
        </w:rPr>
      </w:pPr>
    </w:p>
    <w:p w14:paraId="6918FFF8" w14:textId="471FFCA2" w:rsidR="009B406B" w:rsidRPr="006B11BA" w:rsidRDefault="009B406B" w:rsidP="009F382E">
      <w:pPr>
        <w:pStyle w:val="Estilo1"/>
      </w:pPr>
      <w:bookmarkStart w:id="14" w:name="_Toc200710062"/>
      <w:r>
        <w:t>Behin-behineko kalifikazioak eta haien berrikuspena</w:t>
      </w:r>
      <w:bookmarkEnd w:id="14"/>
    </w:p>
    <w:p w14:paraId="41E0F9C5" w14:textId="69958738" w:rsidR="00B90DE9" w:rsidRPr="006B11BA" w:rsidRDefault="00B90DE9" w:rsidP="00CC5955">
      <w:pPr>
        <w:pStyle w:val="Prrafodelista"/>
        <w:numPr>
          <w:ilvl w:val="0"/>
          <w:numId w:val="15"/>
        </w:numPr>
        <w:spacing w:before="120" w:after="120" w:line="360" w:lineRule="auto"/>
        <w:jc w:val="both"/>
        <w:rPr>
          <w:rFonts w:ascii="Arial" w:hAnsi="Arial" w:cs="Arial"/>
        </w:rPr>
      </w:pPr>
      <w:r>
        <w:rPr>
          <w:rFonts w:ascii="Arial" w:hAnsi="Arial"/>
        </w:rPr>
        <w:t>Deialdi bakoitzean, behin-behineko kalifikazioak argitaratzeko, irakasgaian matrikulatutako ikasle bakoitzarentzat sarbide mugatua eta banakakoa duten plataforma instituzionalak erabiliko dira. Argitalpenak hartzaile guztiek horren berri izango dutela bermatzen duen denboran iraungo du, edo, hala badagokio, dagozkion errekurtsoak edo erreklamazioak aurkezteko behar den epean.</w:t>
      </w:r>
    </w:p>
    <w:p w14:paraId="759BD7A4" w14:textId="377BDF5A" w:rsidR="009A4F36" w:rsidRPr="006B11BA" w:rsidRDefault="009A4F36" w:rsidP="00CC5955">
      <w:pPr>
        <w:pStyle w:val="Prrafodelista"/>
        <w:numPr>
          <w:ilvl w:val="0"/>
          <w:numId w:val="15"/>
        </w:numPr>
        <w:spacing w:before="120" w:after="120" w:line="360" w:lineRule="auto"/>
        <w:contextualSpacing w:val="0"/>
        <w:jc w:val="both"/>
        <w:rPr>
          <w:rFonts w:ascii="Arial" w:hAnsi="Arial" w:cs="Arial"/>
        </w:rPr>
      </w:pPr>
      <w:r>
        <w:rPr>
          <w:rFonts w:ascii="Arial" w:hAnsi="Arial"/>
        </w:rPr>
        <w:t>Behin-behineko kalifikazioak argitaratzearekin batera, berrikuspenaren data, ordua eta lekua adieraziko dira irakasgaiaz arduratzen diren irakasleen aurrean, kalifikazio horiek argitaratu eta egutegiko egun batetik (1) sei (6) arteko epean.</w:t>
      </w:r>
    </w:p>
    <w:p w14:paraId="046EBCBF" w14:textId="3C38C311" w:rsidR="009A4F36" w:rsidRPr="006B11BA" w:rsidRDefault="7FDCA4B0" w:rsidP="00CC5955">
      <w:pPr>
        <w:pStyle w:val="Prrafodelista"/>
        <w:numPr>
          <w:ilvl w:val="0"/>
          <w:numId w:val="15"/>
        </w:numPr>
        <w:spacing w:before="120" w:after="120" w:line="360" w:lineRule="auto"/>
        <w:jc w:val="both"/>
        <w:rPr>
          <w:rFonts w:ascii="Arial" w:hAnsi="Arial" w:cs="Arial"/>
        </w:rPr>
      </w:pPr>
      <w:r>
        <w:rPr>
          <w:rFonts w:ascii="Arial" w:hAnsi="Arial"/>
        </w:rPr>
        <w:t>Ikasleak ebaluazio-jardueretan lortutako behin-behineko kalifikazioak, gehienez ere, hogei (20) egun naturaleko epean argitaratu beharko dira, jarduera egiten denetik zenbatzen hasita. Epe hori ebaluazio-aktak itxi aurrekoa izango da. </w:t>
      </w:r>
    </w:p>
    <w:p w14:paraId="40A0D6D9" w14:textId="2C17F0D6" w:rsidR="009A4F36" w:rsidRPr="006B11BA" w:rsidRDefault="009A4F36" w:rsidP="00CC5955">
      <w:pPr>
        <w:pStyle w:val="Prrafodelista"/>
        <w:numPr>
          <w:ilvl w:val="0"/>
          <w:numId w:val="15"/>
        </w:numPr>
        <w:spacing w:before="120" w:after="120" w:line="360" w:lineRule="auto"/>
        <w:jc w:val="both"/>
        <w:rPr>
          <w:rFonts w:ascii="Arial" w:hAnsi="Arial" w:cs="Arial"/>
        </w:rPr>
      </w:pPr>
      <w:r>
        <w:rPr>
          <w:rFonts w:ascii="Arial" w:hAnsi="Arial"/>
        </w:rPr>
        <w:t>Kalifikazioa erreklamatzeko prozesu bat irekita badago, banakako kalifikazioa behin-behinekoa izango da, azken ebazpena lortu arte.</w:t>
      </w:r>
    </w:p>
    <w:p w14:paraId="134D11D1" w14:textId="29D9675A" w:rsidR="00845BF6" w:rsidRPr="006B11BA" w:rsidRDefault="4003BB7A" w:rsidP="00CC5955">
      <w:pPr>
        <w:pStyle w:val="Prrafodelista"/>
        <w:numPr>
          <w:ilvl w:val="0"/>
          <w:numId w:val="15"/>
        </w:numPr>
        <w:spacing w:before="120" w:after="120" w:line="360" w:lineRule="auto"/>
        <w:jc w:val="both"/>
        <w:rPr>
          <w:rFonts w:ascii="Arial" w:hAnsi="Arial" w:cs="Arial"/>
        </w:rPr>
      </w:pPr>
      <w:r>
        <w:rPr>
          <w:rFonts w:ascii="Arial" w:hAnsi="Arial"/>
        </w:rPr>
        <w:t xml:space="preserve">Ikasleak eskubidea izango du behin-behineko kalifikazioak berrikusteko eta irakasle arduradunek bere aurrean justifikatzeko, eta, hala badagokio, hezkuntza-premia bereziak dituzten ikasleei egokituko zaizkie. </w:t>
      </w:r>
    </w:p>
    <w:p w14:paraId="3EFE6A0E" w14:textId="77777777" w:rsidR="00845BF6" w:rsidRPr="006B11BA" w:rsidRDefault="00845BF6" w:rsidP="006B11BA">
      <w:pPr>
        <w:spacing w:before="120" w:after="120" w:line="360" w:lineRule="auto"/>
        <w:jc w:val="both"/>
        <w:rPr>
          <w:rFonts w:ascii="Arial" w:hAnsi="Arial" w:cs="Arial"/>
          <w:b/>
        </w:rPr>
      </w:pPr>
    </w:p>
    <w:p w14:paraId="20E91FCB" w14:textId="10E97784" w:rsidR="009B406B" w:rsidRPr="006B11BA" w:rsidRDefault="009B406B" w:rsidP="009F382E">
      <w:pPr>
        <w:pStyle w:val="Estilo1"/>
      </w:pPr>
      <w:bookmarkStart w:id="15" w:name="_Toc200710063"/>
      <w:r>
        <w:lastRenderedPageBreak/>
        <w:t>Behin betiko kalifikazioak</w:t>
      </w:r>
      <w:bookmarkEnd w:id="15"/>
    </w:p>
    <w:p w14:paraId="69C9E6ED" w14:textId="302A99E0" w:rsidR="77C577E3" w:rsidRPr="006B11BA" w:rsidRDefault="7048974E" w:rsidP="006B11BA">
      <w:pPr>
        <w:spacing w:before="120" w:after="120" w:line="360" w:lineRule="auto"/>
        <w:jc w:val="both"/>
        <w:rPr>
          <w:rFonts w:ascii="Arial" w:hAnsi="Arial" w:cs="Arial"/>
          <w:color w:val="000000" w:themeColor="text1"/>
        </w:rPr>
      </w:pPr>
      <w:r>
        <w:rPr>
          <w:rFonts w:ascii="Arial" w:hAnsi="Arial"/>
          <w:color w:val="000000" w:themeColor="text1"/>
        </w:rPr>
        <w:t>Behin-behineko kalifikazioak berrikusteko aldia amaitu eta gutxienez sei (6) egun naturaleko eta gehienez hamar (10) eguneko epean, irakasleek behin betiko kalifikazioak argitaratuko dituzte, banaka eta unibertsitatean ezarritako bide ofizialetatik.</w:t>
      </w:r>
    </w:p>
    <w:p w14:paraId="12C5B397" w14:textId="77777777" w:rsidR="00A00A20" w:rsidRPr="006B11BA" w:rsidRDefault="00A00A20" w:rsidP="006B11BA">
      <w:pPr>
        <w:spacing w:before="120" w:after="120" w:line="360" w:lineRule="auto"/>
        <w:jc w:val="both"/>
        <w:rPr>
          <w:rFonts w:ascii="Arial" w:hAnsi="Arial" w:cs="Arial"/>
          <w:color w:val="000000" w:themeColor="text1"/>
        </w:rPr>
      </w:pPr>
    </w:p>
    <w:p w14:paraId="1FA14D60" w14:textId="0C592B0A" w:rsidR="000E2788" w:rsidRPr="006B11BA" w:rsidRDefault="000E2788" w:rsidP="009F382E">
      <w:pPr>
        <w:pStyle w:val="Estilo1"/>
      </w:pPr>
      <w:bookmarkStart w:id="16" w:name="_Toc200710064"/>
      <w:r>
        <w:t>Aktak</w:t>
      </w:r>
      <w:bookmarkEnd w:id="16"/>
    </w:p>
    <w:p w14:paraId="18FB3839" w14:textId="402DFAD3" w:rsidR="009B406B" w:rsidRPr="006B11BA" w:rsidRDefault="000E2788" w:rsidP="00CC5955">
      <w:pPr>
        <w:pStyle w:val="Prrafodelista"/>
        <w:numPr>
          <w:ilvl w:val="0"/>
          <w:numId w:val="5"/>
        </w:numPr>
        <w:spacing w:before="120" w:after="120" w:line="360" w:lineRule="auto"/>
        <w:contextualSpacing w:val="0"/>
        <w:jc w:val="both"/>
        <w:rPr>
          <w:rFonts w:ascii="Arial" w:hAnsi="Arial" w:cs="Arial"/>
        </w:rPr>
      </w:pPr>
      <w:r>
        <w:rPr>
          <w:rFonts w:ascii="Arial" w:hAnsi="Arial"/>
        </w:rPr>
        <w:t>Behin betiko azken kalifikazioak argitaratu ondoren, deialdi bakoitzaren ebaluazio-aktak egingo dira.</w:t>
      </w:r>
    </w:p>
    <w:p w14:paraId="035DD25A" w14:textId="4D21C0FB" w:rsidR="000E2788" w:rsidRPr="006B11BA" w:rsidRDefault="472336A7" w:rsidP="00CC5955">
      <w:pPr>
        <w:pStyle w:val="Prrafodelista"/>
        <w:numPr>
          <w:ilvl w:val="0"/>
          <w:numId w:val="5"/>
        </w:numPr>
        <w:spacing w:before="120" w:after="120" w:line="360" w:lineRule="auto"/>
        <w:contextualSpacing w:val="0"/>
        <w:jc w:val="both"/>
        <w:rPr>
          <w:rFonts w:ascii="Arial" w:hAnsi="Arial" w:cs="Arial"/>
        </w:rPr>
      </w:pPr>
      <w:r>
        <w:rPr>
          <w:rFonts w:ascii="Arial" w:hAnsi="Arial"/>
        </w:rPr>
        <w:t xml:space="preserve">Ebaluazioaz arduratzen diren eta irakaskuntza-gaitasun osoa duten irakasleek data jarri eta sinatu beharko dituzte aktak, eta unibertsitateko idazkaritzan utzi, egutegi akademikoan aurreikusitako epeen barruan. </w:t>
      </w:r>
    </w:p>
    <w:p w14:paraId="7A09283D" w14:textId="6571A148" w:rsidR="62CE4244" w:rsidRPr="006B11BA" w:rsidRDefault="62CE4244" w:rsidP="00CC5955">
      <w:pPr>
        <w:pStyle w:val="Prrafodelista"/>
        <w:numPr>
          <w:ilvl w:val="0"/>
          <w:numId w:val="5"/>
        </w:numPr>
        <w:spacing w:before="120" w:after="120" w:line="360" w:lineRule="auto"/>
        <w:contextualSpacing w:val="0"/>
        <w:jc w:val="both"/>
        <w:rPr>
          <w:rFonts w:ascii="Arial" w:hAnsi="Arial" w:cs="Arial"/>
        </w:rPr>
      </w:pPr>
      <w:r>
        <w:rPr>
          <w:rFonts w:ascii="Arial" w:hAnsi="Arial"/>
        </w:rPr>
        <w:t xml:space="preserve">Ezintasun justifikatua duten kasuetan, Fakultateko edo Dekanotzako Dekanotzaren oniritzia izanik, dagokion azterlanaren Koordinazioak sinatuko du akta. </w:t>
      </w:r>
    </w:p>
    <w:p w14:paraId="0ABDA4BF" w14:textId="255F7915" w:rsidR="002151D3" w:rsidRPr="006B11BA" w:rsidRDefault="002151D3" w:rsidP="00CC5955">
      <w:pPr>
        <w:pStyle w:val="Prrafodelista"/>
        <w:numPr>
          <w:ilvl w:val="0"/>
          <w:numId w:val="5"/>
        </w:numPr>
        <w:spacing w:before="120" w:after="120" w:line="360" w:lineRule="auto"/>
        <w:contextualSpacing w:val="0"/>
        <w:jc w:val="both"/>
        <w:rPr>
          <w:rFonts w:ascii="Arial" w:hAnsi="Arial" w:cs="Arial"/>
        </w:rPr>
      </w:pPr>
      <w:r>
        <w:rPr>
          <w:rFonts w:ascii="Arial" w:hAnsi="Arial"/>
        </w:rPr>
        <w:t>Aktak Unibertsitateko Idazkaritzan artxibatu eta zainduko dira.</w:t>
      </w:r>
    </w:p>
    <w:p w14:paraId="08695A0B" w14:textId="08FE4ACE" w:rsidR="00224B0F" w:rsidRPr="006B11BA" w:rsidRDefault="5AD3A4A5" w:rsidP="00CC5955">
      <w:pPr>
        <w:pStyle w:val="Prrafodelista"/>
        <w:numPr>
          <w:ilvl w:val="0"/>
          <w:numId w:val="5"/>
        </w:numPr>
        <w:spacing w:before="120" w:after="120" w:line="360" w:lineRule="auto"/>
        <w:jc w:val="both"/>
        <w:rPr>
          <w:rFonts w:ascii="Arial" w:hAnsi="Arial" w:cs="Arial"/>
        </w:rPr>
      </w:pPr>
      <w:r>
        <w:rPr>
          <w:rFonts w:ascii="Arial" w:hAnsi="Arial"/>
        </w:rPr>
        <w:t xml:space="preserve">Gerora detektatutako aktetan egiten diren akatsak Unibertsitateko Idazkaritzari berariaz eskatuta zuzenduko dira, aktan sar ditzan. </w:t>
      </w:r>
    </w:p>
    <w:p w14:paraId="3FA3472F" w14:textId="61808630" w:rsidR="77C577E3" w:rsidRPr="006B11BA" w:rsidRDefault="77C577E3" w:rsidP="006B11BA">
      <w:pPr>
        <w:spacing w:before="120" w:after="120" w:line="360" w:lineRule="auto"/>
        <w:jc w:val="both"/>
        <w:rPr>
          <w:rFonts w:ascii="Arial" w:hAnsi="Arial" w:cs="Arial"/>
          <w:b/>
          <w:bCs/>
        </w:rPr>
      </w:pPr>
    </w:p>
    <w:p w14:paraId="5914E1FA" w14:textId="3298D15B" w:rsidR="002151D3" w:rsidRPr="006B11BA" w:rsidRDefault="002151D3" w:rsidP="009F382E">
      <w:pPr>
        <w:pStyle w:val="Estilo1"/>
      </w:pPr>
      <w:bookmarkStart w:id="17" w:name="_Toc200710065"/>
      <w:r>
        <w:t>Ebaluazio-probak gordetzea</w:t>
      </w:r>
      <w:bookmarkEnd w:id="17"/>
    </w:p>
    <w:p w14:paraId="2E0588F1" w14:textId="77777777" w:rsidR="00D47C3A" w:rsidRPr="006B11BA" w:rsidRDefault="00D47C3A" w:rsidP="00CC5955">
      <w:pPr>
        <w:pStyle w:val="Prrafodelista"/>
        <w:numPr>
          <w:ilvl w:val="0"/>
          <w:numId w:val="16"/>
        </w:numPr>
        <w:spacing w:before="120" w:after="120" w:line="360" w:lineRule="auto"/>
        <w:contextualSpacing w:val="0"/>
        <w:jc w:val="both"/>
        <w:rPr>
          <w:rFonts w:ascii="Arial" w:hAnsi="Arial" w:cs="Arial"/>
        </w:rPr>
      </w:pPr>
      <w:r>
        <w:rPr>
          <w:rFonts w:ascii="Arial" w:hAnsi="Arial"/>
        </w:rPr>
        <w:t xml:space="preserve">Artikulu honen ondorioetarako, ebaluazio-probak proben enuntziatuak eta ikasle bakoitzak ebatzitako aleak osatzen dituzte, ebalua daitezkeen </w:t>
      </w:r>
      <w:proofErr w:type="spellStart"/>
      <w:r>
        <w:rPr>
          <w:rFonts w:ascii="Arial" w:hAnsi="Arial"/>
        </w:rPr>
        <w:t>entregagai</w:t>
      </w:r>
      <w:proofErr w:type="spellEnd"/>
      <w:r>
        <w:rPr>
          <w:rFonts w:ascii="Arial" w:hAnsi="Arial"/>
        </w:rPr>
        <w:t xml:space="preserve"> guztiak barne (arazoak, txostenak, proiektuak edo lanak, etab.). </w:t>
      </w:r>
    </w:p>
    <w:p w14:paraId="112E0F16" w14:textId="2270C77A" w:rsidR="002151D3" w:rsidRPr="006B11BA" w:rsidRDefault="0619DFF8" w:rsidP="00CC5955">
      <w:pPr>
        <w:pStyle w:val="Prrafodelista"/>
        <w:numPr>
          <w:ilvl w:val="0"/>
          <w:numId w:val="16"/>
        </w:numPr>
        <w:spacing w:before="120" w:after="120" w:line="360" w:lineRule="auto"/>
        <w:jc w:val="both"/>
        <w:rPr>
          <w:rFonts w:ascii="Arial" w:hAnsi="Arial" w:cs="Arial"/>
        </w:rPr>
      </w:pPr>
      <w:r>
        <w:rPr>
          <w:rFonts w:ascii="Arial" w:hAnsi="Arial"/>
        </w:rPr>
        <w:t>Egindako ebaluazio-probak, hala nola azterketak, proba praktikoak, lanak, ikus-entzunezko grabazioak, praktiken memoriak, etab., irakasleek gorde beharko dituzte hurrengo bi ikasturteak amaitu arte, hau da, bi deialdietako ebaluazio-aktak itxi arte. Kalitatea bermatzeko barne-sistemak ikasgai bakoitzerako ikasturte bakoitzeko ebaluazio-proba zuzenduen adibideak gordetzea eska dezake, eta, kasu horretan, adibide-proba horiek mugarik gabe gorde eta zainduko dira.</w:t>
      </w:r>
    </w:p>
    <w:p w14:paraId="7EBF54D1" w14:textId="0BD396A1" w:rsidR="002151D3" w:rsidRPr="006B11BA" w:rsidRDefault="399C98CD" w:rsidP="00CC5955">
      <w:pPr>
        <w:pStyle w:val="Prrafodelista"/>
        <w:numPr>
          <w:ilvl w:val="0"/>
          <w:numId w:val="16"/>
        </w:numPr>
        <w:spacing w:before="120" w:after="120" w:line="360" w:lineRule="auto"/>
        <w:contextualSpacing w:val="0"/>
        <w:jc w:val="both"/>
        <w:rPr>
          <w:rFonts w:ascii="Arial" w:hAnsi="Arial" w:cs="Arial"/>
        </w:rPr>
      </w:pPr>
      <w:r>
        <w:rPr>
          <w:rFonts w:ascii="Arial" w:hAnsi="Arial"/>
        </w:rPr>
        <w:t>Aktak egin eta bi hilabete igaro ondoren, eta sei hilabete igaro baino lehen, ikasleak eskubidea izango du, aldez aurretik berariaz eskatuta, aurkeztu dituen praktiken jatorrizko lanak eta memoriak itzultzeko, azterketak izan ezik, horiek irakasleek zainduko baitituzte.</w:t>
      </w:r>
    </w:p>
    <w:p w14:paraId="410AF653" w14:textId="0CFABCA8" w:rsidR="77C577E3" w:rsidRDefault="0AAA1916" w:rsidP="00CC5955">
      <w:pPr>
        <w:pStyle w:val="Prrafodelista"/>
        <w:numPr>
          <w:ilvl w:val="0"/>
          <w:numId w:val="16"/>
        </w:numPr>
        <w:spacing w:before="120" w:after="120" w:line="360" w:lineRule="auto"/>
        <w:contextualSpacing w:val="0"/>
        <w:jc w:val="both"/>
        <w:rPr>
          <w:rFonts w:ascii="Arial" w:hAnsi="Arial" w:cs="Arial"/>
        </w:rPr>
      </w:pPr>
      <w:r>
        <w:rPr>
          <w:rFonts w:ascii="Arial" w:hAnsi="Arial"/>
        </w:rPr>
        <w:lastRenderedPageBreak/>
        <w:t xml:space="preserve">Ebaluazio-probaren bat ustekabean galdu edo suntsitu bada, eragindako ikasleak proba hori berriro egiteko eskubidea izango du, irakasgaiaren indarrean dagoen arduradunak zehazten dituen prozeduraren eta daten arabera.  </w:t>
      </w:r>
    </w:p>
    <w:p w14:paraId="20102082" w14:textId="77777777" w:rsidR="00A00A20" w:rsidRPr="006B11BA" w:rsidRDefault="00A00A20" w:rsidP="00A00A20">
      <w:pPr>
        <w:pStyle w:val="Prrafodelista"/>
        <w:spacing w:before="120" w:after="120" w:line="360" w:lineRule="auto"/>
        <w:ind w:left="360"/>
        <w:contextualSpacing w:val="0"/>
        <w:jc w:val="both"/>
        <w:rPr>
          <w:rFonts w:ascii="Arial" w:hAnsi="Arial" w:cs="Arial"/>
        </w:rPr>
      </w:pPr>
    </w:p>
    <w:p w14:paraId="5611A286" w14:textId="61B96353" w:rsidR="00201782" w:rsidRPr="006B11BA" w:rsidRDefault="0536ACBB" w:rsidP="009F382E">
      <w:pPr>
        <w:pStyle w:val="Estilo1"/>
      </w:pPr>
      <w:bookmarkStart w:id="18" w:name="_Toc200710066"/>
      <w:r>
        <w:t>Kalifikazioak erreklamatzeko prozedura</w:t>
      </w:r>
      <w:bookmarkEnd w:id="18"/>
    </w:p>
    <w:p w14:paraId="6BF4F264" w14:textId="50F26C7A" w:rsidR="00AF08B9" w:rsidRPr="006B11BA" w:rsidRDefault="00AF08B9" w:rsidP="00CC5955">
      <w:pPr>
        <w:pStyle w:val="Prrafodelista"/>
        <w:numPr>
          <w:ilvl w:val="0"/>
          <w:numId w:val="17"/>
        </w:numPr>
        <w:spacing w:before="120" w:after="120" w:line="360" w:lineRule="auto"/>
        <w:contextualSpacing w:val="0"/>
        <w:jc w:val="both"/>
        <w:rPr>
          <w:rFonts w:ascii="Arial" w:hAnsi="Arial" w:cs="Arial"/>
        </w:rPr>
      </w:pPr>
      <w:r>
        <w:rPr>
          <w:rFonts w:ascii="Arial" w:hAnsi="Arial"/>
        </w:rPr>
        <w:t>Ikaslea ez badago ados ebaluazio-proba batean lortutako emaitzarekin eta proba horretarako ez bada berrikuspenik egin, erreklamazio arrazoitua aurkeztu ahal izango die idatziz irakasle arduradunei, behin-behineko kalifikazioa argitaratu eta bi (2) egun naturaleko epean.</w:t>
      </w:r>
    </w:p>
    <w:p w14:paraId="1567A0F5" w14:textId="58B85556" w:rsidR="00892D04" w:rsidRPr="006B11BA" w:rsidRDefault="00892D04" w:rsidP="00CC5955">
      <w:pPr>
        <w:pStyle w:val="Prrafodelista"/>
        <w:numPr>
          <w:ilvl w:val="0"/>
          <w:numId w:val="17"/>
        </w:numPr>
        <w:spacing w:before="120" w:after="120" w:line="360" w:lineRule="auto"/>
        <w:jc w:val="both"/>
        <w:rPr>
          <w:rFonts w:ascii="Arial" w:hAnsi="Arial" w:cs="Arial"/>
        </w:rPr>
      </w:pPr>
      <w:r>
        <w:rPr>
          <w:rFonts w:ascii="Arial" w:hAnsi="Arial"/>
        </w:rPr>
        <w:t xml:space="preserve">Erreklamazio hori jasotzen duen irakasleak ikaslearekin harremanetan jarri beharko du eskatutako berrikuspena egiteko. Berrikuspen hori egin ondoren, ikasleak kalifikazioarekin ados ez badago, hurrengo bi (2) egun naturaletan bere erreklamazioa titulazioaren arduradunari helarazi ahal izango dio idazki formal baten bidez, bere eskaera (errekurtsoa) justifikatuz. Bestalde, titulazioaren arduradunak errekurtsoa egokia dela uste badu, Ebaluazio Berrikusteko Epaimahai bat eratzeko proposamen bat egingo du, eta proposamen hori dagokion dekanotzara (edo </w:t>
      </w:r>
      <w:proofErr w:type="spellStart"/>
      <w:r>
        <w:rPr>
          <w:rFonts w:ascii="Arial" w:hAnsi="Arial"/>
        </w:rPr>
        <w:t>dekanoordetzara</w:t>
      </w:r>
      <w:proofErr w:type="spellEnd"/>
      <w:r>
        <w:rPr>
          <w:rFonts w:ascii="Arial" w:hAnsi="Arial"/>
        </w:rPr>
        <w:t>) bidaliko du, epaimahai hori eratu dadin. Epaimahaikideren bat errekusatu ahal izango da, baldin eta irakasleek edo ikasleek uste badute interes-gatazka nabarmena dagoela eta hala justifikatzen badute. </w:t>
      </w:r>
    </w:p>
    <w:p w14:paraId="15E675E2" w14:textId="77777777" w:rsidR="000A268F" w:rsidRPr="006B11BA" w:rsidRDefault="000A268F" w:rsidP="00CC5955">
      <w:pPr>
        <w:pStyle w:val="Prrafodelista"/>
        <w:numPr>
          <w:ilvl w:val="0"/>
          <w:numId w:val="17"/>
        </w:numPr>
        <w:spacing w:before="120" w:after="120" w:line="360" w:lineRule="auto"/>
        <w:contextualSpacing w:val="0"/>
        <w:jc w:val="both"/>
        <w:rPr>
          <w:rFonts w:ascii="Arial" w:hAnsi="Arial" w:cs="Arial"/>
        </w:rPr>
      </w:pPr>
      <w:r>
        <w:rPr>
          <w:rFonts w:ascii="Arial" w:hAnsi="Arial"/>
        </w:rPr>
        <w:t xml:space="preserve">Ebaluazioa Berrikusteko Epaimahaia, gutxienez, tituluaren irakasle-klaustroko bi irakaslek eta eragindako azterlanaren koordinatzaileak osatuko dute. </w:t>
      </w:r>
    </w:p>
    <w:p w14:paraId="5591B615" w14:textId="135FF7CE" w:rsidR="5CA61775" w:rsidRPr="006B11BA" w:rsidRDefault="719C7FEC" w:rsidP="00CC5955">
      <w:pPr>
        <w:pStyle w:val="Prrafodelista"/>
        <w:numPr>
          <w:ilvl w:val="0"/>
          <w:numId w:val="17"/>
        </w:numPr>
        <w:spacing w:before="120" w:after="120" w:line="360" w:lineRule="auto"/>
        <w:contextualSpacing w:val="0"/>
        <w:jc w:val="both"/>
        <w:rPr>
          <w:rFonts w:ascii="Arial" w:hAnsi="Arial" w:cs="Arial"/>
        </w:rPr>
      </w:pPr>
      <w:r>
        <w:rPr>
          <w:rFonts w:ascii="Arial" w:hAnsi="Arial"/>
        </w:rPr>
        <w:t>Ebaluazioa Berrikusteko Epaimahaiak aurkeztutako errekurtsoa aztertuko du, eta, hala badagokio, erreklamazioa eragin zuen ebaluazioaz arduratzen diren irakasleei txostena eskatuko die. Erreklamazioa aztertu ondoren, epaimahaiak beste kalifikazio bat egin behar dela erabakitzen badu, epaimahaiak berak erabakiko du kalifikazio hori, eta bozketa edo dagokion batez bestekoaren kalkulua egin ahal izango du. Horren ondoren, epaimahaiak ebazpena idatziz jakinaraziko dio titulazioaren arduradunari, eta hark informazioa emango die ikasleari eta irakasgaiko irakasleei, jakinaren gainean egon daitezen eta ondorioak izan ditzan, eta kalifikazioa eta dagokion akta zuzenduko ditu, hala badagokio.</w:t>
      </w:r>
    </w:p>
    <w:p w14:paraId="7C380749" w14:textId="24EB7E6B" w:rsidR="4DA965DA" w:rsidRPr="006B11BA" w:rsidRDefault="4DA965DA" w:rsidP="006B11BA">
      <w:pPr>
        <w:pStyle w:val="Prrafodelista"/>
        <w:spacing w:before="120" w:after="120" w:line="360" w:lineRule="auto"/>
        <w:ind w:left="360"/>
        <w:contextualSpacing w:val="0"/>
        <w:jc w:val="both"/>
        <w:rPr>
          <w:rFonts w:ascii="Arial" w:hAnsi="Arial" w:cs="Arial"/>
        </w:rPr>
      </w:pPr>
    </w:p>
    <w:p w14:paraId="0FF89CF9" w14:textId="25AC3C66" w:rsidR="00201782" w:rsidRPr="006B11BA" w:rsidRDefault="00201782" w:rsidP="009F382E">
      <w:pPr>
        <w:pStyle w:val="Estilo1"/>
      </w:pPr>
      <w:bookmarkStart w:id="19" w:name="_Toc200710067"/>
      <w:r>
        <w:t>Gora jotzeko errekurtsoa</w:t>
      </w:r>
      <w:bookmarkEnd w:id="19"/>
    </w:p>
    <w:p w14:paraId="31985828" w14:textId="78896024" w:rsidR="009B0742" w:rsidRPr="006B11BA" w:rsidRDefault="1E359E90" w:rsidP="00CC5955">
      <w:pPr>
        <w:pStyle w:val="Prrafodelista"/>
        <w:numPr>
          <w:ilvl w:val="0"/>
          <w:numId w:val="18"/>
        </w:numPr>
        <w:spacing w:before="120" w:after="120" w:line="360" w:lineRule="auto"/>
        <w:jc w:val="both"/>
        <w:rPr>
          <w:rFonts w:ascii="Arial" w:hAnsi="Arial" w:cs="Arial"/>
        </w:rPr>
      </w:pPr>
      <w:r>
        <w:rPr>
          <w:rFonts w:ascii="Arial" w:hAnsi="Arial"/>
        </w:rPr>
        <w:lastRenderedPageBreak/>
        <w:t>Ebaluazio Berrikusteko Epaimahaiaren ebazpenarekin ados ez dagoen ikasleak apelazio-errekurtsoa aurkeztu ahal izango du, gehienez ere zazpi (7) egun naturaleko epean, Epaimahaiak ebazpena ematen duenetik aurrera.</w:t>
      </w:r>
    </w:p>
    <w:p w14:paraId="4FAAA418" w14:textId="0207923E" w:rsidR="00201782" w:rsidRPr="006B11BA" w:rsidRDefault="5E03A09A" w:rsidP="00CC5955">
      <w:pPr>
        <w:pStyle w:val="Prrafodelista"/>
        <w:numPr>
          <w:ilvl w:val="0"/>
          <w:numId w:val="18"/>
        </w:numPr>
        <w:spacing w:before="120" w:after="120" w:line="360" w:lineRule="auto"/>
        <w:jc w:val="both"/>
        <w:rPr>
          <w:rFonts w:ascii="Arial" w:hAnsi="Arial" w:cs="Arial"/>
        </w:rPr>
      </w:pPr>
      <w:r>
        <w:rPr>
          <w:rFonts w:ascii="Arial" w:hAnsi="Arial"/>
        </w:rPr>
        <w:t>Errekurtso hori Errektoretzaren aurrean aurkeztu beharko da, eta honek, Berrikusketa Epaimahaiak emandako txostenak ikusita eta bidezko aholkularitzak eskatu ondoren, errekurtsoari amaiera emango dion ebazpena emango du.</w:t>
      </w:r>
    </w:p>
    <w:p w14:paraId="6CB58C70" w14:textId="7863D311" w:rsidR="6E374CF4" w:rsidRDefault="6E374CF4" w:rsidP="6E374CF4">
      <w:pPr>
        <w:pStyle w:val="Prrafodelista"/>
        <w:spacing w:before="120" w:after="120" w:line="360" w:lineRule="auto"/>
        <w:ind w:left="360"/>
        <w:jc w:val="both"/>
        <w:rPr>
          <w:rFonts w:ascii="Arial" w:hAnsi="Arial" w:cs="Arial"/>
        </w:rPr>
      </w:pPr>
    </w:p>
    <w:p w14:paraId="10E85668" w14:textId="1BDE024F" w:rsidR="009F382E" w:rsidRDefault="00201782" w:rsidP="009F382E">
      <w:pPr>
        <w:pStyle w:val="Estilo1"/>
        <w:numPr>
          <w:ilvl w:val="0"/>
          <w:numId w:val="0"/>
        </w:numPr>
      </w:pPr>
      <w:bookmarkStart w:id="20" w:name="_Toc200710068"/>
      <w:r>
        <w:t>XEDAPEN GEHIGARRIAK</w:t>
      </w:r>
      <w:bookmarkEnd w:id="20"/>
    </w:p>
    <w:p w14:paraId="5242DDCD" w14:textId="6A8BD146" w:rsidR="00310EA3" w:rsidRPr="006B11BA" w:rsidRDefault="5356B293" w:rsidP="009F382E">
      <w:pPr>
        <w:pStyle w:val="Estilo1"/>
        <w:numPr>
          <w:ilvl w:val="0"/>
          <w:numId w:val="0"/>
        </w:numPr>
      </w:pPr>
      <w:bookmarkStart w:id="21" w:name="_Toc200710069"/>
      <w:r>
        <w:t>Lehenengoa. Iraungitako ikasketa-planetako irakasgaiak</w:t>
      </w:r>
      <w:bookmarkEnd w:id="21"/>
    </w:p>
    <w:p w14:paraId="3AAF7524" w14:textId="315AADED" w:rsidR="00310EA3" w:rsidRPr="006B11BA" w:rsidRDefault="3374D54B" w:rsidP="00CC5955">
      <w:pPr>
        <w:pStyle w:val="Prrafodelista"/>
        <w:numPr>
          <w:ilvl w:val="0"/>
          <w:numId w:val="6"/>
        </w:numPr>
        <w:spacing w:before="120" w:after="120" w:line="360" w:lineRule="auto"/>
        <w:jc w:val="both"/>
        <w:rPr>
          <w:rFonts w:ascii="Arial" w:hAnsi="Arial" w:cs="Arial"/>
        </w:rPr>
      </w:pPr>
      <w:r>
        <w:rPr>
          <w:rFonts w:ascii="Arial" w:hAnsi="Arial"/>
        </w:rPr>
        <w:t>Ikasketa-plan bateko ikasturte bat amaitu ondoren, ikasturte horretako irakasgaiak ebaluatzeko ohiko hiru deialdi egingo dira hurrengo hiru ikasturteetako bakoitzean. Ikasturte horietakoren batean ikasgaia gainditzen ez duen ikaslea ikasketa-plan berrira egokitu beharko da.</w:t>
      </w:r>
    </w:p>
    <w:p w14:paraId="05FB01CF" w14:textId="7A39E7B5" w:rsidR="00310EA3" w:rsidRPr="006B11BA" w:rsidRDefault="2666BA5D" w:rsidP="00CC5955">
      <w:pPr>
        <w:pStyle w:val="Prrafodelista"/>
        <w:numPr>
          <w:ilvl w:val="0"/>
          <w:numId w:val="6"/>
        </w:numPr>
        <w:spacing w:before="120" w:after="120" w:line="360" w:lineRule="auto"/>
        <w:jc w:val="both"/>
        <w:rPr>
          <w:rFonts w:ascii="Arial" w:hAnsi="Arial" w:cs="Arial"/>
        </w:rPr>
      </w:pPr>
      <w:r>
        <w:rPr>
          <w:rFonts w:ascii="Arial" w:hAnsi="Arial"/>
        </w:rPr>
        <w:t>Ikasleak ohiko hiru deialdietatik bitan parte hartzeko eskubidea izango du.</w:t>
      </w:r>
    </w:p>
    <w:p w14:paraId="53825EA3" w14:textId="14519F70" w:rsidR="00310EA3" w:rsidRPr="006B11BA" w:rsidRDefault="00310EA3" w:rsidP="00CC5955">
      <w:pPr>
        <w:pStyle w:val="Prrafodelista"/>
        <w:numPr>
          <w:ilvl w:val="0"/>
          <w:numId w:val="6"/>
        </w:numPr>
        <w:spacing w:before="120" w:after="120" w:line="360" w:lineRule="auto"/>
        <w:jc w:val="both"/>
        <w:rPr>
          <w:rFonts w:ascii="Arial" w:hAnsi="Arial" w:cs="Arial"/>
        </w:rPr>
      </w:pPr>
      <w:r>
        <w:rPr>
          <w:rFonts w:ascii="Arial" w:hAnsi="Arial"/>
        </w:rPr>
        <w:t>Iraungitako irakasgai baten ebaluazio-sistema amaierako azterketak egitean soilik oinarrituko da, deialdi guztietan berdina izango da eta irakatsi zen azken ikasturtean indarrean zegoen programa izango du erreferentzia gisa.</w:t>
      </w:r>
    </w:p>
    <w:p w14:paraId="1F87419A" w14:textId="157B4A90" w:rsidR="77C577E3" w:rsidRPr="006B11BA" w:rsidRDefault="77C577E3" w:rsidP="006B11BA">
      <w:pPr>
        <w:spacing w:before="120" w:after="120" w:line="360" w:lineRule="auto"/>
        <w:jc w:val="both"/>
        <w:rPr>
          <w:rFonts w:ascii="Arial" w:hAnsi="Arial" w:cs="Arial"/>
          <w:b/>
          <w:bCs/>
        </w:rPr>
      </w:pPr>
    </w:p>
    <w:p w14:paraId="6DE39E8B" w14:textId="0E914169" w:rsidR="00310EA3" w:rsidRPr="009F382E" w:rsidRDefault="04739C7E" w:rsidP="009F382E">
      <w:pPr>
        <w:pStyle w:val="Estilo1"/>
        <w:numPr>
          <w:ilvl w:val="0"/>
          <w:numId w:val="0"/>
        </w:numPr>
      </w:pPr>
      <w:bookmarkStart w:id="22" w:name="_Toc200710070"/>
      <w:r>
        <w:t>Bigarrena. Indarrean jartzea</w:t>
      </w:r>
      <w:bookmarkEnd w:id="22"/>
    </w:p>
    <w:p w14:paraId="6FB7812D" w14:textId="1DB23C3F" w:rsidR="00310EA3" w:rsidRPr="006B11BA" w:rsidRDefault="00310EA3" w:rsidP="006B11BA">
      <w:pPr>
        <w:spacing w:before="120" w:after="120" w:line="360" w:lineRule="auto"/>
        <w:jc w:val="both"/>
        <w:rPr>
          <w:rFonts w:ascii="Arial" w:hAnsi="Arial" w:cs="Arial"/>
        </w:rPr>
      </w:pPr>
      <w:r>
        <w:rPr>
          <w:rFonts w:ascii="Arial" w:hAnsi="Arial"/>
        </w:rPr>
        <w:t>Araudi hori Kontseilu Akademikoak onartzen duenetik eta Zuzendaritza Kontseiluak berresten duenetik aurrera aplikatuko da. Dagokion moduan zabaldu eta argitaratuko da, unibertsitate-komunitate osoak horren berri izan dezan.</w:t>
      </w:r>
    </w:p>
    <w:p w14:paraId="78168F12" w14:textId="6D5BDCC1" w:rsidR="00310EA3" w:rsidRPr="006B11BA" w:rsidRDefault="00310EA3" w:rsidP="006B11BA">
      <w:pPr>
        <w:spacing w:before="120" w:after="120" w:line="360" w:lineRule="auto"/>
        <w:jc w:val="both"/>
        <w:rPr>
          <w:rFonts w:ascii="Arial" w:hAnsi="Arial" w:cs="Arial"/>
        </w:rPr>
      </w:pPr>
    </w:p>
    <w:sectPr w:rsidR="00310EA3" w:rsidRPr="006B11BA" w:rsidSect="00655120">
      <w:pgSz w:w="11906" w:h="16838"/>
      <w:pgMar w:top="2042"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50B7E" w14:textId="77777777" w:rsidR="00CC5955" w:rsidRDefault="00CC5955" w:rsidP="00854255">
      <w:pPr>
        <w:spacing w:after="0" w:line="240" w:lineRule="auto"/>
      </w:pPr>
      <w:r>
        <w:separator/>
      </w:r>
    </w:p>
  </w:endnote>
  <w:endnote w:type="continuationSeparator" w:id="0">
    <w:p w14:paraId="79F9B2AA" w14:textId="77777777" w:rsidR="00CC5955" w:rsidRDefault="00CC5955" w:rsidP="0085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569498058"/>
      <w:docPartObj>
        <w:docPartGallery w:val="Page Numbers (Bottom of Page)"/>
        <w:docPartUnique/>
      </w:docPartObj>
    </w:sdtPr>
    <w:sdtEndPr>
      <w:rPr>
        <w:rStyle w:val="Nmerodepgina"/>
      </w:rPr>
    </w:sdtEndPr>
    <w:sdtContent>
      <w:p w14:paraId="38E866D4" w14:textId="659E95E5" w:rsidR="00310EA3" w:rsidRDefault="00310EA3" w:rsidP="00F8121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A5E59">
          <w:rPr>
            <w:rStyle w:val="Nmerodepgina"/>
            <w:noProof/>
          </w:rPr>
          <w:t>13</w:t>
        </w:r>
        <w:r>
          <w:rPr>
            <w:rStyle w:val="Nmerodepgina"/>
          </w:rPr>
          <w:fldChar w:fldCharType="end"/>
        </w:r>
      </w:p>
    </w:sdtContent>
  </w:sdt>
  <w:p w14:paraId="55A09FF4" w14:textId="77777777" w:rsidR="00310EA3" w:rsidRDefault="00310E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sz w:val="18"/>
        <w:szCs w:val="18"/>
      </w:rPr>
      <w:id w:val="-815107315"/>
      <w:docPartObj>
        <w:docPartGallery w:val="Page Numbers (Bottom of Page)"/>
        <w:docPartUnique/>
      </w:docPartObj>
    </w:sdtPr>
    <w:sdtEndPr>
      <w:rPr>
        <w:rStyle w:val="Nmerodepgina"/>
      </w:rPr>
    </w:sdtEndPr>
    <w:sdtContent>
      <w:p w14:paraId="1B98DFE1" w14:textId="2F2A52BC" w:rsidR="00310EA3" w:rsidRPr="00310EA3" w:rsidRDefault="00310EA3" w:rsidP="00F81219">
        <w:pPr>
          <w:pStyle w:val="Piedepgina"/>
          <w:framePr w:wrap="none" w:vAnchor="text" w:hAnchor="margin" w:xAlign="center" w:y="1"/>
          <w:rPr>
            <w:rStyle w:val="Nmerodepgina"/>
            <w:sz w:val="18"/>
            <w:szCs w:val="18"/>
          </w:rPr>
        </w:pPr>
        <w:r w:rsidRPr="00310EA3">
          <w:rPr>
            <w:rStyle w:val="Nmerodepgina"/>
            <w:sz w:val="18"/>
          </w:rPr>
          <w:fldChar w:fldCharType="begin"/>
        </w:r>
        <w:r w:rsidRPr="00310EA3">
          <w:rPr>
            <w:rStyle w:val="Nmerodepgina"/>
            <w:sz w:val="18"/>
          </w:rPr>
          <w:instrText xml:space="preserve"> PAGE </w:instrText>
        </w:r>
        <w:r w:rsidRPr="00310EA3">
          <w:rPr>
            <w:rStyle w:val="Nmerodepgina"/>
            <w:sz w:val="18"/>
          </w:rPr>
          <w:fldChar w:fldCharType="separate"/>
        </w:r>
        <w:r w:rsidR="007266E8">
          <w:rPr>
            <w:rStyle w:val="Nmerodepgina"/>
            <w:sz w:val="18"/>
          </w:rPr>
          <w:t>1</w:t>
        </w:r>
        <w:r w:rsidRPr="00310EA3">
          <w:rPr>
            <w:rStyle w:val="Nmerodepgina"/>
            <w:sz w:val="18"/>
          </w:rPr>
          <w:fldChar w:fldCharType="end"/>
        </w:r>
      </w:p>
    </w:sdtContent>
  </w:sdt>
  <w:p w14:paraId="452EA3C2" w14:textId="77777777" w:rsidR="00310EA3" w:rsidRDefault="00310E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120B0" w14:textId="77777777" w:rsidR="00CC5955" w:rsidRDefault="00CC5955" w:rsidP="00854255">
      <w:pPr>
        <w:spacing w:after="0" w:line="240" w:lineRule="auto"/>
      </w:pPr>
      <w:r>
        <w:separator/>
      </w:r>
    </w:p>
  </w:footnote>
  <w:footnote w:type="continuationSeparator" w:id="0">
    <w:p w14:paraId="497278F7" w14:textId="77777777" w:rsidR="00CC5955" w:rsidRDefault="00CC5955" w:rsidP="00854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5A62" w14:textId="5521D7D5" w:rsidR="009E521C" w:rsidRDefault="009E521C">
    <w:pPr>
      <w:pStyle w:val="Encabezado"/>
    </w:pPr>
  </w:p>
  <w:p w14:paraId="51DABD05" w14:textId="573D1849" w:rsidR="00655120" w:rsidRDefault="00655120">
    <w:pPr>
      <w:pStyle w:val="Encabezado"/>
    </w:pPr>
    <w:r>
      <w:rPr>
        <w:noProof/>
      </w:rPr>
      <w:drawing>
        <wp:inline distT="0" distB="0" distL="0" distR="0" wp14:anchorId="6C9B65A5" wp14:editId="36BBA1DB">
          <wp:extent cx="2137157" cy="321276"/>
          <wp:effectExtent l="0" t="0" r="0" b="0"/>
          <wp:docPr id="709731497" name="Imagen 1" descr="Código QR&#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31497" name="Imagen 1" descr="Código QR&#10;&#10;Descripción generada automáticamente con confianza baja"/>
                  <pic:cNvPicPr/>
                </pic:nvPicPr>
                <pic:blipFill rotWithShape="1">
                  <a:blip r:embed="rId1"/>
                  <a:srcRect l="866" t="3988"/>
                  <a:stretch/>
                </pic:blipFill>
                <pic:spPr bwMode="auto">
                  <a:xfrm>
                    <a:off x="0" y="0"/>
                    <a:ext cx="2208668" cy="332026"/>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87CE6"/>
    <w:multiLevelType w:val="hybridMultilevel"/>
    <w:tmpl w:val="CD9C60A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9A86FB9"/>
    <w:multiLevelType w:val="hybridMultilevel"/>
    <w:tmpl w:val="CD9C60A4"/>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1F8E3A03"/>
    <w:multiLevelType w:val="hybridMultilevel"/>
    <w:tmpl w:val="D98086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163000D"/>
    <w:multiLevelType w:val="hybridMultilevel"/>
    <w:tmpl w:val="CD9C60A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8056D1"/>
    <w:multiLevelType w:val="multilevel"/>
    <w:tmpl w:val="D4B8392E"/>
    <w:lvl w:ilvl="0">
      <w:start w:val="1"/>
      <w:numFmt w:val="decimal"/>
      <w:pStyle w:val="Estilo1"/>
      <w:lvlText w:val="Artikulua %1."/>
      <w:lvlJc w:val="left"/>
      <w:pPr>
        <w:ind w:left="0" w:firstLine="0"/>
      </w:pPr>
      <w:rPr>
        <w:rFonts w:ascii="Arial" w:hAnsi="Arial" w:hint="default"/>
        <w:b/>
        <w:i w:val="0"/>
        <w:color w:val="002060"/>
        <w:sz w:val="22"/>
      </w:rPr>
    </w:lvl>
    <w:lvl w:ilvl="1">
      <w:start w:val="1"/>
      <w:numFmt w:val="decimalZero"/>
      <w:pStyle w:val="Ttulo2"/>
      <w:isLgl/>
      <w:lvlText w:val="Sección %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5" w15:restartNumberingAfterBreak="0">
    <w:nsid w:val="238E298D"/>
    <w:multiLevelType w:val="hybridMultilevel"/>
    <w:tmpl w:val="D98086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53C2669"/>
    <w:multiLevelType w:val="hybridMultilevel"/>
    <w:tmpl w:val="CD9C60A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5E156BF"/>
    <w:multiLevelType w:val="hybridMultilevel"/>
    <w:tmpl w:val="CD9C60A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5FE4ACB"/>
    <w:multiLevelType w:val="hybridMultilevel"/>
    <w:tmpl w:val="CD9C60A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D637876"/>
    <w:multiLevelType w:val="hybridMultilevel"/>
    <w:tmpl w:val="CD9C60A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73F2DDF"/>
    <w:multiLevelType w:val="hybridMultilevel"/>
    <w:tmpl w:val="D98086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7852E8F"/>
    <w:multiLevelType w:val="hybridMultilevel"/>
    <w:tmpl w:val="CD9C60A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A323EEC"/>
    <w:multiLevelType w:val="hybridMultilevel"/>
    <w:tmpl w:val="D98086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E8D176C"/>
    <w:multiLevelType w:val="hybridMultilevel"/>
    <w:tmpl w:val="D98086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3B73F2F"/>
    <w:multiLevelType w:val="hybridMultilevel"/>
    <w:tmpl w:val="CD9C60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04275D4"/>
    <w:multiLevelType w:val="hybridMultilevel"/>
    <w:tmpl w:val="375069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25160B62">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1BC1B1F"/>
    <w:multiLevelType w:val="hybridMultilevel"/>
    <w:tmpl w:val="D98086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7A70E41"/>
    <w:multiLevelType w:val="hybridMultilevel"/>
    <w:tmpl w:val="1E9214BC"/>
    <w:lvl w:ilvl="0" w:tplc="04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B230D4"/>
    <w:multiLevelType w:val="hybridMultilevel"/>
    <w:tmpl w:val="CD9C60A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8"/>
  </w:num>
  <w:num w:numId="3">
    <w:abstractNumId w:val="15"/>
  </w:num>
  <w:num w:numId="4">
    <w:abstractNumId w:val="2"/>
  </w:num>
  <w:num w:numId="5">
    <w:abstractNumId w:val="16"/>
  </w:num>
  <w:num w:numId="6">
    <w:abstractNumId w:val="12"/>
  </w:num>
  <w:num w:numId="7">
    <w:abstractNumId w:val="14"/>
  </w:num>
  <w:num w:numId="8">
    <w:abstractNumId w:val="11"/>
  </w:num>
  <w:num w:numId="9">
    <w:abstractNumId w:val="7"/>
  </w:num>
  <w:num w:numId="10">
    <w:abstractNumId w:val="9"/>
  </w:num>
  <w:num w:numId="11">
    <w:abstractNumId w:val="6"/>
  </w:num>
  <w:num w:numId="12">
    <w:abstractNumId w:val="0"/>
  </w:num>
  <w:num w:numId="13">
    <w:abstractNumId w:val="3"/>
  </w:num>
  <w:num w:numId="14">
    <w:abstractNumId w:val="17"/>
  </w:num>
  <w:num w:numId="15">
    <w:abstractNumId w:val="18"/>
  </w:num>
  <w:num w:numId="16">
    <w:abstractNumId w:val="10"/>
  </w:num>
  <w:num w:numId="17">
    <w:abstractNumId w:val="5"/>
  </w:num>
  <w:num w:numId="18">
    <w:abstractNumId w:val="13"/>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82"/>
    <w:rsid w:val="00002BA2"/>
    <w:rsid w:val="00011FCE"/>
    <w:rsid w:val="00017AEA"/>
    <w:rsid w:val="00036241"/>
    <w:rsid w:val="0005112B"/>
    <w:rsid w:val="000734CB"/>
    <w:rsid w:val="000A25A4"/>
    <w:rsid w:val="000A268F"/>
    <w:rsid w:val="000C215E"/>
    <w:rsid w:val="000D05C9"/>
    <w:rsid w:val="000D2E9A"/>
    <w:rsid w:val="000D66E8"/>
    <w:rsid w:val="000E1628"/>
    <w:rsid w:val="000E2788"/>
    <w:rsid w:val="000F1814"/>
    <w:rsid w:val="001228EF"/>
    <w:rsid w:val="00145F6C"/>
    <w:rsid w:val="0014612B"/>
    <w:rsid w:val="001666AE"/>
    <w:rsid w:val="00174BA4"/>
    <w:rsid w:val="00176C42"/>
    <w:rsid w:val="001A003E"/>
    <w:rsid w:val="001C076E"/>
    <w:rsid w:val="001C0DAB"/>
    <w:rsid w:val="001D1D2A"/>
    <w:rsid w:val="001D6964"/>
    <w:rsid w:val="001E3D31"/>
    <w:rsid w:val="001E7271"/>
    <w:rsid w:val="001F600C"/>
    <w:rsid w:val="00201782"/>
    <w:rsid w:val="00203FD9"/>
    <w:rsid w:val="00212C75"/>
    <w:rsid w:val="00213CB9"/>
    <w:rsid w:val="002151D3"/>
    <w:rsid w:val="00222DB0"/>
    <w:rsid w:val="00224B0F"/>
    <w:rsid w:val="00241338"/>
    <w:rsid w:val="00272186"/>
    <w:rsid w:val="00283435"/>
    <w:rsid w:val="0028357E"/>
    <w:rsid w:val="00290E0E"/>
    <w:rsid w:val="00291778"/>
    <w:rsid w:val="00295CFB"/>
    <w:rsid w:val="00297468"/>
    <w:rsid w:val="002A5E66"/>
    <w:rsid w:val="002F3C85"/>
    <w:rsid w:val="00305468"/>
    <w:rsid w:val="00310EA3"/>
    <w:rsid w:val="003401EB"/>
    <w:rsid w:val="00340CB0"/>
    <w:rsid w:val="00366034"/>
    <w:rsid w:val="0038325D"/>
    <w:rsid w:val="00393C2E"/>
    <w:rsid w:val="003954B1"/>
    <w:rsid w:val="003962D0"/>
    <w:rsid w:val="003B0B6C"/>
    <w:rsid w:val="003D10D1"/>
    <w:rsid w:val="003F1CFA"/>
    <w:rsid w:val="003F41ED"/>
    <w:rsid w:val="00403D59"/>
    <w:rsid w:val="00410535"/>
    <w:rsid w:val="0041086B"/>
    <w:rsid w:val="004156F3"/>
    <w:rsid w:val="004172D6"/>
    <w:rsid w:val="00432C09"/>
    <w:rsid w:val="00435D22"/>
    <w:rsid w:val="00436B83"/>
    <w:rsid w:val="00441014"/>
    <w:rsid w:val="004435D9"/>
    <w:rsid w:val="00453D39"/>
    <w:rsid w:val="0045605E"/>
    <w:rsid w:val="00471D96"/>
    <w:rsid w:val="00476703"/>
    <w:rsid w:val="00482DE0"/>
    <w:rsid w:val="00485F51"/>
    <w:rsid w:val="00497D7E"/>
    <w:rsid w:val="004A4C3E"/>
    <w:rsid w:val="004B1E35"/>
    <w:rsid w:val="004B5035"/>
    <w:rsid w:val="004D6A28"/>
    <w:rsid w:val="004E5B51"/>
    <w:rsid w:val="00512B61"/>
    <w:rsid w:val="005271BA"/>
    <w:rsid w:val="00537B5C"/>
    <w:rsid w:val="00566B22"/>
    <w:rsid w:val="00577FEA"/>
    <w:rsid w:val="00581E07"/>
    <w:rsid w:val="00596926"/>
    <w:rsid w:val="005A7026"/>
    <w:rsid w:val="005B00B7"/>
    <w:rsid w:val="005C5206"/>
    <w:rsid w:val="005D1AC6"/>
    <w:rsid w:val="005F3D28"/>
    <w:rsid w:val="00617084"/>
    <w:rsid w:val="006250AB"/>
    <w:rsid w:val="006310BA"/>
    <w:rsid w:val="006319DB"/>
    <w:rsid w:val="006470F8"/>
    <w:rsid w:val="006538A0"/>
    <w:rsid w:val="00655120"/>
    <w:rsid w:val="00661CEF"/>
    <w:rsid w:val="00662E11"/>
    <w:rsid w:val="00663CB3"/>
    <w:rsid w:val="00665144"/>
    <w:rsid w:val="00665455"/>
    <w:rsid w:val="0068481C"/>
    <w:rsid w:val="006A05D0"/>
    <w:rsid w:val="006A2DB4"/>
    <w:rsid w:val="006B11BA"/>
    <w:rsid w:val="006C2B1F"/>
    <w:rsid w:val="006C6AB7"/>
    <w:rsid w:val="006C72C6"/>
    <w:rsid w:val="00702CD3"/>
    <w:rsid w:val="007266E8"/>
    <w:rsid w:val="0073D55D"/>
    <w:rsid w:val="00751663"/>
    <w:rsid w:val="00752B45"/>
    <w:rsid w:val="00780EAF"/>
    <w:rsid w:val="007834B0"/>
    <w:rsid w:val="007921DD"/>
    <w:rsid w:val="007A36B0"/>
    <w:rsid w:val="007A61A9"/>
    <w:rsid w:val="007B70A2"/>
    <w:rsid w:val="007C611C"/>
    <w:rsid w:val="007D39AD"/>
    <w:rsid w:val="008034F0"/>
    <w:rsid w:val="00825381"/>
    <w:rsid w:val="00830E46"/>
    <w:rsid w:val="00845A34"/>
    <w:rsid w:val="00845BF6"/>
    <w:rsid w:val="00854255"/>
    <w:rsid w:val="0085560A"/>
    <w:rsid w:val="00856622"/>
    <w:rsid w:val="00860F0F"/>
    <w:rsid w:val="00873764"/>
    <w:rsid w:val="00880A33"/>
    <w:rsid w:val="00882BA2"/>
    <w:rsid w:val="00892D04"/>
    <w:rsid w:val="00895646"/>
    <w:rsid w:val="008A4C1E"/>
    <w:rsid w:val="008C5BD8"/>
    <w:rsid w:val="008D017F"/>
    <w:rsid w:val="008F125D"/>
    <w:rsid w:val="00900918"/>
    <w:rsid w:val="009210D2"/>
    <w:rsid w:val="00921563"/>
    <w:rsid w:val="00922E4E"/>
    <w:rsid w:val="00923D80"/>
    <w:rsid w:val="0092732B"/>
    <w:rsid w:val="0093392F"/>
    <w:rsid w:val="009348B9"/>
    <w:rsid w:val="009523F9"/>
    <w:rsid w:val="00967191"/>
    <w:rsid w:val="00977EFD"/>
    <w:rsid w:val="00982250"/>
    <w:rsid w:val="009A4F36"/>
    <w:rsid w:val="009B0742"/>
    <w:rsid w:val="009B406B"/>
    <w:rsid w:val="009E521C"/>
    <w:rsid w:val="009E622D"/>
    <w:rsid w:val="009E65DA"/>
    <w:rsid w:val="009E75DC"/>
    <w:rsid w:val="009F382E"/>
    <w:rsid w:val="00A00A20"/>
    <w:rsid w:val="00A76384"/>
    <w:rsid w:val="00A81F48"/>
    <w:rsid w:val="00A8240D"/>
    <w:rsid w:val="00AA5E59"/>
    <w:rsid w:val="00AA6213"/>
    <w:rsid w:val="00AB6B74"/>
    <w:rsid w:val="00AB6C3D"/>
    <w:rsid w:val="00AD484B"/>
    <w:rsid w:val="00AD6B6B"/>
    <w:rsid w:val="00AF08B9"/>
    <w:rsid w:val="00B02275"/>
    <w:rsid w:val="00B02720"/>
    <w:rsid w:val="00B208D7"/>
    <w:rsid w:val="00B3353C"/>
    <w:rsid w:val="00B51D15"/>
    <w:rsid w:val="00B67530"/>
    <w:rsid w:val="00B84538"/>
    <w:rsid w:val="00B90DE9"/>
    <w:rsid w:val="00B96636"/>
    <w:rsid w:val="00BB7155"/>
    <w:rsid w:val="00BC09C4"/>
    <w:rsid w:val="00BF19B2"/>
    <w:rsid w:val="00BF5553"/>
    <w:rsid w:val="00C207EC"/>
    <w:rsid w:val="00C372C1"/>
    <w:rsid w:val="00C43262"/>
    <w:rsid w:val="00C72A16"/>
    <w:rsid w:val="00C83B54"/>
    <w:rsid w:val="00C84971"/>
    <w:rsid w:val="00C90E98"/>
    <w:rsid w:val="00C929E3"/>
    <w:rsid w:val="00C93B45"/>
    <w:rsid w:val="00C93D50"/>
    <w:rsid w:val="00C94B09"/>
    <w:rsid w:val="00CC5955"/>
    <w:rsid w:val="00CC77C9"/>
    <w:rsid w:val="00CD7870"/>
    <w:rsid w:val="00D205A8"/>
    <w:rsid w:val="00D27A35"/>
    <w:rsid w:val="00D45152"/>
    <w:rsid w:val="00D47C3A"/>
    <w:rsid w:val="00D634E4"/>
    <w:rsid w:val="00D74BB5"/>
    <w:rsid w:val="00D95517"/>
    <w:rsid w:val="00DA1A45"/>
    <w:rsid w:val="00DA474D"/>
    <w:rsid w:val="00DA721D"/>
    <w:rsid w:val="00DB0C59"/>
    <w:rsid w:val="00DE173C"/>
    <w:rsid w:val="00DE3DCE"/>
    <w:rsid w:val="00DF1948"/>
    <w:rsid w:val="00E05CAB"/>
    <w:rsid w:val="00E217E0"/>
    <w:rsid w:val="00E35020"/>
    <w:rsid w:val="00E36CC3"/>
    <w:rsid w:val="00E42514"/>
    <w:rsid w:val="00E42735"/>
    <w:rsid w:val="00E54140"/>
    <w:rsid w:val="00E609F6"/>
    <w:rsid w:val="00E75854"/>
    <w:rsid w:val="00E76FD1"/>
    <w:rsid w:val="00E8568D"/>
    <w:rsid w:val="00E9336E"/>
    <w:rsid w:val="00E95284"/>
    <w:rsid w:val="00EA7006"/>
    <w:rsid w:val="00EC4E45"/>
    <w:rsid w:val="00ED5A25"/>
    <w:rsid w:val="00EE5F10"/>
    <w:rsid w:val="00EF7AF0"/>
    <w:rsid w:val="00F047CC"/>
    <w:rsid w:val="00F56B09"/>
    <w:rsid w:val="00F56F3C"/>
    <w:rsid w:val="00F63DDB"/>
    <w:rsid w:val="00F966DD"/>
    <w:rsid w:val="00FA3C39"/>
    <w:rsid w:val="00FB4E5A"/>
    <w:rsid w:val="00FC1B16"/>
    <w:rsid w:val="00FD5D2A"/>
    <w:rsid w:val="012BAF58"/>
    <w:rsid w:val="01349424"/>
    <w:rsid w:val="0185F21A"/>
    <w:rsid w:val="019434AF"/>
    <w:rsid w:val="01C681C8"/>
    <w:rsid w:val="01F1D0EA"/>
    <w:rsid w:val="021078BE"/>
    <w:rsid w:val="028DD568"/>
    <w:rsid w:val="031E7EF6"/>
    <w:rsid w:val="038C489A"/>
    <w:rsid w:val="03F83FDC"/>
    <w:rsid w:val="0403B1FD"/>
    <w:rsid w:val="0404FC43"/>
    <w:rsid w:val="04739C7E"/>
    <w:rsid w:val="0477AC12"/>
    <w:rsid w:val="04B4C05A"/>
    <w:rsid w:val="04DA522C"/>
    <w:rsid w:val="04DF7BE2"/>
    <w:rsid w:val="04E21318"/>
    <w:rsid w:val="04E42BF3"/>
    <w:rsid w:val="0536ACBB"/>
    <w:rsid w:val="0565D934"/>
    <w:rsid w:val="0573E883"/>
    <w:rsid w:val="058D58E8"/>
    <w:rsid w:val="058E2121"/>
    <w:rsid w:val="05944FDE"/>
    <w:rsid w:val="05A57FB1"/>
    <w:rsid w:val="05A811F2"/>
    <w:rsid w:val="05C90C3C"/>
    <w:rsid w:val="05D5D91C"/>
    <w:rsid w:val="05E6884F"/>
    <w:rsid w:val="0619DFF8"/>
    <w:rsid w:val="066163BB"/>
    <w:rsid w:val="06791C0E"/>
    <w:rsid w:val="067BD935"/>
    <w:rsid w:val="069718D7"/>
    <w:rsid w:val="069811BE"/>
    <w:rsid w:val="069E5A3C"/>
    <w:rsid w:val="06C5F710"/>
    <w:rsid w:val="06DF6CA0"/>
    <w:rsid w:val="06E432C6"/>
    <w:rsid w:val="06FA92F2"/>
    <w:rsid w:val="073BDB2D"/>
    <w:rsid w:val="07B752D9"/>
    <w:rsid w:val="085B99B5"/>
    <w:rsid w:val="089F7A75"/>
    <w:rsid w:val="08D65BCA"/>
    <w:rsid w:val="094767EB"/>
    <w:rsid w:val="0960D0F2"/>
    <w:rsid w:val="0977333C"/>
    <w:rsid w:val="09BA56E3"/>
    <w:rsid w:val="09EEB5B7"/>
    <w:rsid w:val="0A14A760"/>
    <w:rsid w:val="0A5788AF"/>
    <w:rsid w:val="0A709D5D"/>
    <w:rsid w:val="0A816AD1"/>
    <w:rsid w:val="0A8394FD"/>
    <w:rsid w:val="0A930B58"/>
    <w:rsid w:val="0A9595B3"/>
    <w:rsid w:val="0AAA1916"/>
    <w:rsid w:val="0ABA3354"/>
    <w:rsid w:val="0B26DFA4"/>
    <w:rsid w:val="0B4ECD7C"/>
    <w:rsid w:val="0BCD98F3"/>
    <w:rsid w:val="0BD5936E"/>
    <w:rsid w:val="0C7D6B1F"/>
    <w:rsid w:val="0C90539E"/>
    <w:rsid w:val="0C90F29E"/>
    <w:rsid w:val="0CA64E08"/>
    <w:rsid w:val="0CFC36B0"/>
    <w:rsid w:val="0D14C446"/>
    <w:rsid w:val="0E18A21A"/>
    <w:rsid w:val="0E7C7472"/>
    <w:rsid w:val="0EC53C3D"/>
    <w:rsid w:val="0F0CE8E1"/>
    <w:rsid w:val="0F49C8A2"/>
    <w:rsid w:val="0F4D0EFE"/>
    <w:rsid w:val="0F6B735E"/>
    <w:rsid w:val="0FBC3C25"/>
    <w:rsid w:val="0FC6F7E1"/>
    <w:rsid w:val="0FC723A5"/>
    <w:rsid w:val="0FF12544"/>
    <w:rsid w:val="10B8F885"/>
    <w:rsid w:val="10BAFC5C"/>
    <w:rsid w:val="10E29D79"/>
    <w:rsid w:val="10F08BDF"/>
    <w:rsid w:val="10F1A2ED"/>
    <w:rsid w:val="113098A9"/>
    <w:rsid w:val="116799CD"/>
    <w:rsid w:val="116E88DE"/>
    <w:rsid w:val="117276B4"/>
    <w:rsid w:val="1178E3CF"/>
    <w:rsid w:val="117DFF56"/>
    <w:rsid w:val="11811550"/>
    <w:rsid w:val="118C6ED3"/>
    <w:rsid w:val="12335FC0"/>
    <w:rsid w:val="127D4CA6"/>
    <w:rsid w:val="1299E904"/>
    <w:rsid w:val="129BF809"/>
    <w:rsid w:val="12ACBB56"/>
    <w:rsid w:val="12B3DCAD"/>
    <w:rsid w:val="12C9697E"/>
    <w:rsid w:val="12E0DAC7"/>
    <w:rsid w:val="13062159"/>
    <w:rsid w:val="132CA930"/>
    <w:rsid w:val="135281DC"/>
    <w:rsid w:val="13FB9E7F"/>
    <w:rsid w:val="1400C9C7"/>
    <w:rsid w:val="14283F7A"/>
    <w:rsid w:val="14498B5B"/>
    <w:rsid w:val="14F5E9E2"/>
    <w:rsid w:val="15278C43"/>
    <w:rsid w:val="1530A76A"/>
    <w:rsid w:val="15A04948"/>
    <w:rsid w:val="15AE5701"/>
    <w:rsid w:val="15E5B7C4"/>
    <w:rsid w:val="160A6191"/>
    <w:rsid w:val="1638DC2B"/>
    <w:rsid w:val="165E1BB9"/>
    <w:rsid w:val="16E7AA4D"/>
    <w:rsid w:val="16F5F7DA"/>
    <w:rsid w:val="173BEB31"/>
    <w:rsid w:val="17F4CF6B"/>
    <w:rsid w:val="187FD60E"/>
    <w:rsid w:val="187FD6DA"/>
    <w:rsid w:val="188D5EE4"/>
    <w:rsid w:val="18DA00C4"/>
    <w:rsid w:val="18E1F4CF"/>
    <w:rsid w:val="1922B143"/>
    <w:rsid w:val="1968FE7E"/>
    <w:rsid w:val="197A2519"/>
    <w:rsid w:val="199BA04E"/>
    <w:rsid w:val="199C2583"/>
    <w:rsid w:val="199E728A"/>
    <w:rsid w:val="19A5ABAF"/>
    <w:rsid w:val="19B3B784"/>
    <w:rsid w:val="19E2F0AE"/>
    <w:rsid w:val="19EB4C12"/>
    <w:rsid w:val="1A142F0D"/>
    <w:rsid w:val="1A389471"/>
    <w:rsid w:val="1A5B0D96"/>
    <w:rsid w:val="1AB0D06B"/>
    <w:rsid w:val="1B85F9A7"/>
    <w:rsid w:val="1B999B59"/>
    <w:rsid w:val="1C069264"/>
    <w:rsid w:val="1C3FAB65"/>
    <w:rsid w:val="1C56BC4B"/>
    <w:rsid w:val="1CE1036F"/>
    <w:rsid w:val="1CF8FB42"/>
    <w:rsid w:val="1CFE0B85"/>
    <w:rsid w:val="1D40AC5E"/>
    <w:rsid w:val="1D47BCCA"/>
    <w:rsid w:val="1D60787D"/>
    <w:rsid w:val="1D62BA40"/>
    <w:rsid w:val="1D7D2285"/>
    <w:rsid w:val="1DAA0558"/>
    <w:rsid w:val="1E359E90"/>
    <w:rsid w:val="1E4164EC"/>
    <w:rsid w:val="1F57B2EB"/>
    <w:rsid w:val="1F8E8416"/>
    <w:rsid w:val="1FA46595"/>
    <w:rsid w:val="1FF31C66"/>
    <w:rsid w:val="201F1925"/>
    <w:rsid w:val="2025EB72"/>
    <w:rsid w:val="20986E0D"/>
    <w:rsid w:val="20B1B948"/>
    <w:rsid w:val="20BB9812"/>
    <w:rsid w:val="20DC9B99"/>
    <w:rsid w:val="20FC1F33"/>
    <w:rsid w:val="20FF1867"/>
    <w:rsid w:val="21128885"/>
    <w:rsid w:val="2115099E"/>
    <w:rsid w:val="21E9CEBA"/>
    <w:rsid w:val="2233B82C"/>
    <w:rsid w:val="22EAA636"/>
    <w:rsid w:val="2314344D"/>
    <w:rsid w:val="2322367D"/>
    <w:rsid w:val="233BA1F7"/>
    <w:rsid w:val="23629FF5"/>
    <w:rsid w:val="2367AB2B"/>
    <w:rsid w:val="2370F612"/>
    <w:rsid w:val="245A9CE7"/>
    <w:rsid w:val="245D1CD6"/>
    <w:rsid w:val="24F58CFF"/>
    <w:rsid w:val="253811B3"/>
    <w:rsid w:val="255285BB"/>
    <w:rsid w:val="2562B729"/>
    <w:rsid w:val="2567C53C"/>
    <w:rsid w:val="25BA0B72"/>
    <w:rsid w:val="25D9D01E"/>
    <w:rsid w:val="25E93413"/>
    <w:rsid w:val="25FE511D"/>
    <w:rsid w:val="2638EF7F"/>
    <w:rsid w:val="2666BA5D"/>
    <w:rsid w:val="26A6116D"/>
    <w:rsid w:val="26A7C9CC"/>
    <w:rsid w:val="26D7A6AE"/>
    <w:rsid w:val="26DFEE80"/>
    <w:rsid w:val="26E11CCD"/>
    <w:rsid w:val="27295F75"/>
    <w:rsid w:val="283B1EEA"/>
    <w:rsid w:val="283D4613"/>
    <w:rsid w:val="285415CA"/>
    <w:rsid w:val="28B3CCAF"/>
    <w:rsid w:val="28C8F40B"/>
    <w:rsid w:val="2966004E"/>
    <w:rsid w:val="29840F18"/>
    <w:rsid w:val="29CB3D35"/>
    <w:rsid w:val="29F14E95"/>
    <w:rsid w:val="2A0FED13"/>
    <w:rsid w:val="2A961BE6"/>
    <w:rsid w:val="2ABAE2ED"/>
    <w:rsid w:val="2AC88A9D"/>
    <w:rsid w:val="2AE42B42"/>
    <w:rsid w:val="2AFC7135"/>
    <w:rsid w:val="2B244A0A"/>
    <w:rsid w:val="2B2B8D95"/>
    <w:rsid w:val="2BB252A3"/>
    <w:rsid w:val="2BDA55D3"/>
    <w:rsid w:val="2BEB1FEF"/>
    <w:rsid w:val="2BF99544"/>
    <w:rsid w:val="2C311913"/>
    <w:rsid w:val="2C450432"/>
    <w:rsid w:val="2C7A2E47"/>
    <w:rsid w:val="2CB5393F"/>
    <w:rsid w:val="2CD64E76"/>
    <w:rsid w:val="2CDC1FE0"/>
    <w:rsid w:val="2D2107D2"/>
    <w:rsid w:val="2D4ED4F9"/>
    <w:rsid w:val="2D67FDAF"/>
    <w:rsid w:val="2D96DA43"/>
    <w:rsid w:val="2E76CD53"/>
    <w:rsid w:val="2EF92749"/>
    <w:rsid w:val="2F57EF40"/>
    <w:rsid w:val="2FD68116"/>
    <w:rsid w:val="2FDFB8AD"/>
    <w:rsid w:val="2FE78705"/>
    <w:rsid w:val="304729A6"/>
    <w:rsid w:val="30D4055A"/>
    <w:rsid w:val="30F1310F"/>
    <w:rsid w:val="3117E5FC"/>
    <w:rsid w:val="314D466D"/>
    <w:rsid w:val="31A10589"/>
    <w:rsid w:val="31B43E80"/>
    <w:rsid w:val="31C91168"/>
    <w:rsid w:val="31DFF5CD"/>
    <w:rsid w:val="32729787"/>
    <w:rsid w:val="328FC499"/>
    <w:rsid w:val="32912BA9"/>
    <w:rsid w:val="32AE02B9"/>
    <w:rsid w:val="32FD53F6"/>
    <w:rsid w:val="3338096A"/>
    <w:rsid w:val="3374D54B"/>
    <w:rsid w:val="3394E957"/>
    <w:rsid w:val="33A5E21B"/>
    <w:rsid w:val="33B69D33"/>
    <w:rsid w:val="33C8A009"/>
    <w:rsid w:val="33DEEBF4"/>
    <w:rsid w:val="33EB0C4A"/>
    <w:rsid w:val="34BAA26C"/>
    <w:rsid w:val="34ED5079"/>
    <w:rsid w:val="34F829AB"/>
    <w:rsid w:val="3519929B"/>
    <w:rsid w:val="351D7AD7"/>
    <w:rsid w:val="3530EF32"/>
    <w:rsid w:val="3574D895"/>
    <w:rsid w:val="35843E5D"/>
    <w:rsid w:val="35A2BE82"/>
    <w:rsid w:val="35C7992D"/>
    <w:rsid w:val="36211523"/>
    <w:rsid w:val="36398F9C"/>
    <w:rsid w:val="36804558"/>
    <w:rsid w:val="369F8AA2"/>
    <w:rsid w:val="36E062FC"/>
    <w:rsid w:val="36E273AC"/>
    <w:rsid w:val="3702B5D8"/>
    <w:rsid w:val="370E9CFA"/>
    <w:rsid w:val="372B5B63"/>
    <w:rsid w:val="373BEEAF"/>
    <w:rsid w:val="374FE556"/>
    <w:rsid w:val="375A8B07"/>
    <w:rsid w:val="375B79D3"/>
    <w:rsid w:val="377B290F"/>
    <w:rsid w:val="37AAF15B"/>
    <w:rsid w:val="37D85CD0"/>
    <w:rsid w:val="37F04C97"/>
    <w:rsid w:val="37F14CF3"/>
    <w:rsid w:val="37FDE169"/>
    <w:rsid w:val="384CC7D8"/>
    <w:rsid w:val="386208D3"/>
    <w:rsid w:val="3873EB0B"/>
    <w:rsid w:val="391D646E"/>
    <w:rsid w:val="39739D75"/>
    <w:rsid w:val="397C8023"/>
    <w:rsid w:val="399AB9B3"/>
    <w:rsid w:val="399C98CD"/>
    <w:rsid w:val="39B66B3A"/>
    <w:rsid w:val="3A31728D"/>
    <w:rsid w:val="3AF0340F"/>
    <w:rsid w:val="3B12265B"/>
    <w:rsid w:val="3B39A937"/>
    <w:rsid w:val="3B5E2F03"/>
    <w:rsid w:val="3B9065AF"/>
    <w:rsid w:val="3C12AFBA"/>
    <w:rsid w:val="3C988E7F"/>
    <w:rsid w:val="3E425F24"/>
    <w:rsid w:val="3E880FAD"/>
    <w:rsid w:val="3EA58C92"/>
    <w:rsid w:val="3F28C562"/>
    <w:rsid w:val="3F2A270C"/>
    <w:rsid w:val="3F643216"/>
    <w:rsid w:val="3F7A96C2"/>
    <w:rsid w:val="3F8A4AFD"/>
    <w:rsid w:val="3FD1FDB6"/>
    <w:rsid w:val="3FFED6E1"/>
    <w:rsid w:val="3FFF261F"/>
    <w:rsid w:val="400193D5"/>
    <w:rsid w:val="4003BB7A"/>
    <w:rsid w:val="402A8C81"/>
    <w:rsid w:val="40A694AD"/>
    <w:rsid w:val="40D1983D"/>
    <w:rsid w:val="40F0AD3E"/>
    <w:rsid w:val="4112B799"/>
    <w:rsid w:val="41CCF284"/>
    <w:rsid w:val="42390748"/>
    <w:rsid w:val="423C4F6C"/>
    <w:rsid w:val="427843A6"/>
    <w:rsid w:val="42C215B4"/>
    <w:rsid w:val="42F2A660"/>
    <w:rsid w:val="433AA6F1"/>
    <w:rsid w:val="437E8209"/>
    <w:rsid w:val="4409C056"/>
    <w:rsid w:val="4423ECEC"/>
    <w:rsid w:val="44DD7EB7"/>
    <w:rsid w:val="44EC25A1"/>
    <w:rsid w:val="453CF6BC"/>
    <w:rsid w:val="456CF437"/>
    <w:rsid w:val="45942406"/>
    <w:rsid w:val="45AE1171"/>
    <w:rsid w:val="45B5F020"/>
    <w:rsid w:val="45C68893"/>
    <w:rsid w:val="465F0191"/>
    <w:rsid w:val="466E62B6"/>
    <w:rsid w:val="4697F1AF"/>
    <w:rsid w:val="46BA724B"/>
    <w:rsid w:val="46C5672C"/>
    <w:rsid w:val="46C6A174"/>
    <w:rsid w:val="47090D96"/>
    <w:rsid w:val="472336A7"/>
    <w:rsid w:val="4790858B"/>
    <w:rsid w:val="4790DE5B"/>
    <w:rsid w:val="47A4D425"/>
    <w:rsid w:val="47B0292D"/>
    <w:rsid w:val="4805BA01"/>
    <w:rsid w:val="4806D4DD"/>
    <w:rsid w:val="4855D00A"/>
    <w:rsid w:val="488FDDF4"/>
    <w:rsid w:val="489E09B8"/>
    <w:rsid w:val="48B53196"/>
    <w:rsid w:val="48C0414F"/>
    <w:rsid w:val="48C0C9BC"/>
    <w:rsid w:val="48D110FE"/>
    <w:rsid w:val="48FE6721"/>
    <w:rsid w:val="49F1E521"/>
    <w:rsid w:val="49FEE385"/>
    <w:rsid w:val="4A0604DA"/>
    <w:rsid w:val="4ABEBFFA"/>
    <w:rsid w:val="4B08E236"/>
    <w:rsid w:val="4B52AD51"/>
    <w:rsid w:val="4B8865A9"/>
    <w:rsid w:val="4BB0821D"/>
    <w:rsid w:val="4BD70141"/>
    <w:rsid w:val="4BF0B1D8"/>
    <w:rsid w:val="4BF1FF0A"/>
    <w:rsid w:val="4BFCAED1"/>
    <w:rsid w:val="4C40A4FE"/>
    <w:rsid w:val="4C416794"/>
    <w:rsid w:val="4C597567"/>
    <w:rsid w:val="4CA6DF7C"/>
    <w:rsid w:val="4CD43E8F"/>
    <w:rsid w:val="4D5C48ED"/>
    <w:rsid w:val="4D8A048B"/>
    <w:rsid w:val="4DA965DA"/>
    <w:rsid w:val="4DDAEA82"/>
    <w:rsid w:val="4DEA80FC"/>
    <w:rsid w:val="4E986B56"/>
    <w:rsid w:val="4E9DC784"/>
    <w:rsid w:val="4F05DF43"/>
    <w:rsid w:val="4F2C9A80"/>
    <w:rsid w:val="4F7BBA0B"/>
    <w:rsid w:val="4F83571E"/>
    <w:rsid w:val="4FB8F575"/>
    <w:rsid w:val="4FD8BE92"/>
    <w:rsid w:val="50013F30"/>
    <w:rsid w:val="504C1D24"/>
    <w:rsid w:val="5081733B"/>
    <w:rsid w:val="50C232D5"/>
    <w:rsid w:val="50D9C9D7"/>
    <w:rsid w:val="50F90F3B"/>
    <w:rsid w:val="5124B74B"/>
    <w:rsid w:val="5148A63E"/>
    <w:rsid w:val="516625A8"/>
    <w:rsid w:val="519F2169"/>
    <w:rsid w:val="51A6DF93"/>
    <w:rsid w:val="522D8A12"/>
    <w:rsid w:val="523EC5CC"/>
    <w:rsid w:val="52ADDDF1"/>
    <w:rsid w:val="52D1F7E8"/>
    <w:rsid w:val="53407889"/>
    <w:rsid w:val="5356B293"/>
    <w:rsid w:val="536B1ACE"/>
    <w:rsid w:val="5372672C"/>
    <w:rsid w:val="5388D712"/>
    <w:rsid w:val="53C42CA7"/>
    <w:rsid w:val="53CBC8B8"/>
    <w:rsid w:val="53F5F0CD"/>
    <w:rsid w:val="541D3E0C"/>
    <w:rsid w:val="543CE56E"/>
    <w:rsid w:val="544487C0"/>
    <w:rsid w:val="545EE6CD"/>
    <w:rsid w:val="549363E0"/>
    <w:rsid w:val="54F12922"/>
    <w:rsid w:val="55388D7A"/>
    <w:rsid w:val="554729B5"/>
    <w:rsid w:val="554889DC"/>
    <w:rsid w:val="55C13514"/>
    <w:rsid w:val="55F70793"/>
    <w:rsid w:val="5630A2FA"/>
    <w:rsid w:val="56467457"/>
    <w:rsid w:val="565149D2"/>
    <w:rsid w:val="56815BE3"/>
    <w:rsid w:val="56ABEFCB"/>
    <w:rsid w:val="56B1ED96"/>
    <w:rsid w:val="56DE1DBD"/>
    <w:rsid w:val="570A6D34"/>
    <w:rsid w:val="57195FD2"/>
    <w:rsid w:val="571DAF9C"/>
    <w:rsid w:val="577804BA"/>
    <w:rsid w:val="58066C4A"/>
    <w:rsid w:val="58BCF34B"/>
    <w:rsid w:val="58C2F749"/>
    <w:rsid w:val="58CA6E5D"/>
    <w:rsid w:val="58DA3A88"/>
    <w:rsid w:val="58E24143"/>
    <w:rsid w:val="592F6896"/>
    <w:rsid w:val="595C4000"/>
    <w:rsid w:val="59616144"/>
    <w:rsid w:val="59654D5E"/>
    <w:rsid w:val="59AC42A4"/>
    <w:rsid w:val="59F9D311"/>
    <w:rsid w:val="5A4B3BFA"/>
    <w:rsid w:val="5AA3FFBA"/>
    <w:rsid w:val="5AD3A4A5"/>
    <w:rsid w:val="5AE383AB"/>
    <w:rsid w:val="5AED7141"/>
    <w:rsid w:val="5B1F9E2B"/>
    <w:rsid w:val="5B303696"/>
    <w:rsid w:val="5B3DFD00"/>
    <w:rsid w:val="5B60EF16"/>
    <w:rsid w:val="5B6CC551"/>
    <w:rsid w:val="5B6D4C36"/>
    <w:rsid w:val="5BE904D4"/>
    <w:rsid w:val="5C329F92"/>
    <w:rsid w:val="5C8AD4A6"/>
    <w:rsid w:val="5C8C78DC"/>
    <w:rsid w:val="5C962B89"/>
    <w:rsid w:val="5CA61775"/>
    <w:rsid w:val="5CDE803E"/>
    <w:rsid w:val="5CEC2214"/>
    <w:rsid w:val="5D5B6749"/>
    <w:rsid w:val="5E03A09A"/>
    <w:rsid w:val="5E42583A"/>
    <w:rsid w:val="5EC4E220"/>
    <w:rsid w:val="5ED678E1"/>
    <w:rsid w:val="5EE226DB"/>
    <w:rsid w:val="5F1F6574"/>
    <w:rsid w:val="5F3AC6D3"/>
    <w:rsid w:val="5F58CC6C"/>
    <w:rsid w:val="5FB1FBB8"/>
    <w:rsid w:val="6091DA1D"/>
    <w:rsid w:val="609DF12E"/>
    <w:rsid w:val="60EC7E1E"/>
    <w:rsid w:val="615DD251"/>
    <w:rsid w:val="61A2BCAE"/>
    <w:rsid w:val="61F18826"/>
    <w:rsid w:val="62CE4244"/>
    <w:rsid w:val="62D66180"/>
    <w:rsid w:val="62EA3D85"/>
    <w:rsid w:val="6333D4FE"/>
    <w:rsid w:val="63C954AD"/>
    <w:rsid w:val="640DA56E"/>
    <w:rsid w:val="6451FBB4"/>
    <w:rsid w:val="64539C87"/>
    <w:rsid w:val="64A47715"/>
    <w:rsid w:val="64C57674"/>
    <w:rsid w:val="64C7D4F4"/>
    <w:rsid w:val="64FA26A7"/>
    <w:rsid w:val="6556157B"/>
    <w:rsid w:val="656CC7E5"/>
    <w:rsid w:val="6594CCFD"/>
    <w:rsid w:val="659EDC10"/>
    <w:rsid w:val="662604AE"/>
    <w:rsid w:val="6644C9C3"/>
    <w:rsid w:val="66596BC1"/>
    <w:rsid w:val="66ED9D2E"/>
    <w:rsid w:val="6739507D"/>
    <w:rsid w:val="677FA014"/>
    <w:rsid w:val="67925661"/>
    <w:rsid w:val="67F54234"/>
    <w:rsid w:val="6871BA56"/>
    <w:rsid w:val="68AD6291"/>
    <w:rsid w:val="692E8D4C"/>
    <w:rsid w:val="69988B04"/>
    <w:rsid w:val="6B2DF334"/>
    <w:rsid w:val="6B42AC3A"/>
    <w:rsid w:val="6BCC17AE"/>
    <w:rsid w:val="6BCE6513"/>
    <w:rsid w:val="6C0C8444"/>
    <w:rsid w:val="6CA2B940"/>
    <w:rsid w:val="6CCF428C"/>
    <w:rsid w:val="6CD6823A"/>
    <w:rsid w:val="6CF35690"/>
    <w:rsid w:val="6D018D1E"/>
    <w:rsid w:val="6D3C2F72"/>
    <w:rsid w:val="6DC730C1"/>
    <w:rsid w:val="6E10C671"/>
    <w:rsid w:val="6E356F5F"/>
    <w:rsid w:val="6E374CF4"/>
    <w:rsid w:val="6EB66C78"/>
    <w:rsid w:val="6F9501A2"/>
    <w:rsid w:val="6F9A07E3"/>
    <w:rsid w:val="6F9D8FAC"/>
    <w:rsid w:val="6FF1F98E"/>
    <w:rsid w:val="7048974E"/>
    <w:rsid w:val="709753AB"/>
    <w:rsid w:val="70A1AA2E"/>
    <w:rsid w:val="70B4975B"/>
    <w:rsid w:val="71118B6A"/>
    <w:rsid w:val="7159EC60"/>
    <w:rsid w:val="71821260"/>
    <w:rsid w:val="719C7FEC"/>
    <w:rsid w:val="719D3662"/>
    <w:rsid w:val="7266E3A8"/>
    <w:rsid w:val="741BD95A"/>
    <w:rsid w:val="74324A22"/>
    <w:rsid w:val="7484F57F"/>
    <w:rsid w:val="74C56000"/>
    <w:rsid w:val="75659D68"/>
    <w:rsid w:val="7581ACA9"/>
    <w:rsid w:val="75EF6399"/>
    <w:rsid w:val="75F5ABFE"/>
    <w:rsid w:val="76344AAA"/>
    <w:rsid w:val="7662FF20"/>
    <w:rsid w:val="7673A4C0"/>
    <w:rsid w:val="76BE2B64"/>
    <w:rsid w:val="770A91CE"/>
    <w:rsid w:val="7714B2F6"/>
    <w:rsid w:val="7787D3D8"/>
    <w:rsid w:val="77C577E3"/>
    <w:rsid w:val="77F5D5AA"/>
    <w:rsid w:val="78539BFF"/>
    <w:rsid w:val="786B8487"/>
    <w:rsid w:val="7897A978"/>
    <w:rsid w:val="78BD8FEA"/>
    <w:rsid w:val="791D393B"/>
    <w:rsid w:val="79264AB2"/>
    <w:rsid w:val="79477FF8"/>
    <w:rsid w:val="79595E03"/>
    <w:rsid w:val="796005CA"/>
    <w:rsid w:val="7997D1B3"/>
    <w:rsid w:val="79C87D06"/>
    <w:rsid w:val="79D3F678"/>
    <w:rsid w:val="79DECAE4"/>
    <w:rsid w:val="79E2CB83"/>
    <w:rsid w:val="79F5A31B"/>
    <w:rsid w:val="7A1572A1"/>
    <w:rsid w:val="7A6039D2"/>
    <w:rsid w:val="7AADCF31"/>
    <w:rsid w:val="7AB369E3"/>
    <w:rsid w:val="7ACA9427"/>
    <w:rsid w:val="7B2005C8"/>
    <w:rsid w:val="7B773C64"/>
    <w:rsid w:val="7B9E528C"/>
    <w:rsid w:val="7BAC9117"/>
    <w:rsid w:val="7BFCCAD4"/>
    <w:rsid w:val="7C5B2D8A"/>
    <w:rsid w:val="7C9EB185"/>
    <w:rsid w:val="7CB896FA"/>
    <w:rsid w:val="7E58C851"/>
    <w:rsid w:val="7E640D77"/>
    <w:rsid w:val="7E73F9C7"/>
    <w:rsid w:val="7EBBC16E"/>
    <w:rsid w:val="7EE22B22"/>
    <w:rsid w:val="7F53068F"/>
    <w:rsid w:val="7F556BBB"/>
    <w:rsid w:val="7FB46B74"/>
    <w:rsid w:val="7FDCA4B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FD03DB"/>
  <w15:docId w15:val="{FA4CD2BF-27BB-B749-9E2F-C8F6AA15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61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F382E"/>
    <w:pPr>
      <w:keepNext/>
      <w:keepLines/>
      <w:numPr>
        <w:ilvl w:val="1"/>
        <w:numId w:val="19"/>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1E7271"/>
    <w:pPr>
      <w:numPr>
        <w:ilvl w:val="2"/>
        <w:numId w:val="19"/>
      </w:num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paragraph" w:styleId="Ttulo4">
    <w:name w:val="heading 4"/>
    <w:basedOn w:val="Normal"/>
    <w:next w:val="Normal"/>
    <w:link w:val="Ttulo4Car"/>
    <w:uiPriority w:val="9"/>
    <w:semiHidden/>
    <w:unhideWhenUsed/>
    <w:qFormat/>
    <w:rsid w:val="009F382E"/>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340CB0"/>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F382E"/>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9F382E"/>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9F382E"/>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F382E"/>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42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4255"/>
  </w:style>
  <w:style w:type="paragraph" w:styleId="Piedepgina">
    <w:name w:val="footer"/>
    <w:basedOn w:val="Normal"/>
    <w:link w:val="PiedepginaCar"/>
    <w:uiPriority w:val="99"/>
    <w:unhideWhenUsed/>
    <w:rsid w:val="008542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4255"/>
  </w:style>
  <w:style w:type="paragraph" w:styleId="Textodeglobo">
    <w:name w:val="Balloon Text"/>
    <w:basedOn w:val="Normal"/>
    <w:link w:val="TextodegloboCar"/>
    <w:uiPriority w:val="99"/>
    <w:semiHidden/>
    <w:unhideWhenUsed/>
    <w:rsid w:val="008542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255"/>
    <w:rPr>
      <w:rFonts w:ascii="Segoe UI" w:hAnsi="Segoe UI" w:cs="Segoe UI"/>
      <w:sz w:val="18"/>
      <w:szCs w:val="18"/>
    </w:rPr>
  </w:style>
  <w:style w:type="paragraph" w:styleId="Sinespaciado">
    <w:name w:val="No Spacing"/>
    <w:uiPriority w:val="1"/>
    <w:qFormat/>
    <w:rsid w:val="002F3C85"/>
    <w:pPr>
      <w:spacing w:after="0" w:line="240" w:lineRule="auto"/>
    </w:pPr>
  </w:style>
  <w:style w:type="paragraph" w:styleId="Revisin">
    <w:name w:val="Revision"/>
    <w:hidden/>
    <w:uiPriority w:val="99"/>
    <w:semiHidden/>
    <w:rsid w:val="00ED5A25"/>
    <w:pPr>
      <w:spacing w:after="0" w:line="240" w:lineRule="auto"/>
    </w:pPr>
  </w:style>
  <w:style w:type="character" w:styleId="Refdecomentario">
    <w:name w:val="annotation reference"/>
    <w:basedOn w:val="Fuentedeprrafopredeter"/>
    <w:uiPriority w:val="99"/>
    <w:semiHidden/>
    <w:unhideWhenUsed/>
    <w:rsid w:val="00751663"/>
    <w:rPr>
      <w:sz w:val="16"/>
      <w:szCs w:val="16"/>
    </w:rPr>
  </w:style>
  <w:style w:type="paragraph" w:styleId="Textocomentario">
    <w:name w:val="annotation text"/>
    <w:basedOn w:val="Normal"/>
    <w:link w:val="TextocomentarioCar"/>
    <w:uiPriority w:val="99"/>
    <w:unhideWhenUsed/>
    <w:rsid w:val="00751663"/>
    <w:pPr>
      <w:spacing w:line="240" w:lineRule="auto"/>
    </w:pPr>
    <w:rPr>
      <w:sz w:val="20"/>
      <w:szCs w:val="20"/>
    </w:rPr>
  </w:style>
  <w:style w:type="character" w:customStyle="1" w:styleId="TextocomentarioCar">
    <w:name w:val="Texto comentario Car"/>
    <w:basedOn w:val="Fuentedeprrafopredeter"/>
    <w:link w:val="Textocomentario"/>
    <w:uiPriority w:val="99"/>
    <w:rsid w:val="00751663"/>
    <w:rPr>
      <w:sz w:val="20"/>
      <w:szCs w:val="20"/>
    </w:rPr>
  </w:style>
  <w:style w:type="paragraph" w:styleId="Asuntodelcomentario">
    <w:name w:val="annotation subject"/>
    <w:basedOn w:val="Textocomentario"/>
    <w:next w:val="Textocomentario"/>
    <w:link w:val="AsuntodelcomentarioCar"/>
    <w:uiPriority w:val="99"/>
    <w:semiHidden/>
    <w:unhideWhenUsed/>
    <w:rsid w:val="00751663"/>
    <w:rPr>
      <w:b/>
      <w:bCs/>
    </w:rPr>
  </w:style>
  <w:style w:type="character" w:customStyle="1" w:styleId="AsuntodelcomentarioCar">
    <w:name w:val="Asunto del comentario Car"/>
    <w:basedOn w:val="TextocomentarioCar"/>
    <w:link w:val="Asuntodelcomentario"/>
    <w:uiPriority w:val="99"/>
    <w:semiHidden/>
    <w:rsid w:val="00751663"/>
    <w:rPr>
      <w:b/>
      <w:bCs/>
      <w:sz w:val="20"/>
      <w:szCs w:val="20"/>
    </w:rPr>
  </w:style>
  <w:style w:type="paragraph" w:customStyle="1" w:styleId="parrafo">
    <w:name w:val="parrafo"/>
    <w:basedOn w:val="Normal"/>
    <w:rsid w:val="00B0227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B02275"/>
    <w:pPr>
      <w:ind w:left="720"/>
      <w:contextualSpacing/>
    </w:pPr>
  </w:style>
  <w:style w:type="character" w:styleId="Nmerodepgina">
    <w:name w:val="page number"/>
    <w:basedOn w:val="Fuentedeprrafopredeter"/>
    <w:uiPriority w:val="99"/>
    <w:semiHidden/>
    <w:unhideWhenUsed/>
    <w:rsid w:val="00310EA3"/>
  </w:style>
  <w:style w:type="character" w:customStyle="1" w:styleId="Ttulo3Car">
    <w:name w:val="Título 3 Car"/>
    <w:basedOn w:val="Fuentedeprrafopredeter"/>
    <w:link w:val="Ttulo3"/>
    <w:uiPriority w:val="9"/>
    <w:rsid w:val="001E7271"/>
    <w:rPr>
      <w:rFonts w:ascii="Times New Roman" w:eastAsia="Times New Roman" w:hAnsi="Times New Roman" w:cs="Times New Roman"/>
      <w:b/>
      <w:bCs/>
      <w:sz w:val="27"/>
      <w:szCs w:val="27"/>
      <w:lang w:eastAsia="es-ES_tradnl"/>
    </w:rPr>
  </w:style>
  <w:style w:type="character" w:customStyle="1" w:styleId="Ttulo5Car">
    <w:name w:val="Título 5 Car"/>
    <w:basedOn w:val="Fuentedeprrafopredeter"/>
    <w:link w:val="Ttulo5"/>
    <w:uiPriority w:val="9"/>
    <w:semiHidden/>
    <w:rsid w:val="00340CB0"/>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E5414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aragraph">
    <w:name w:val="paragraph"/>
    <w:basedOn w:val="Normal"/>
    <w:rsid w:val="00E5414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E54140"/>
  </w:style>
  <w:style w:type="character" w:customStyle="1" w:styleId="eop">
    <w:name w:val="eop"/>
    <w:basedOn w:val="Fuentedeprrafopredeter"/>
    <w:rsid w:val="00E54140"/>
  </w:style>
  <w:style w:type="paragraph" w:customStyle="1" w:styleId="Estilo1">
    <w:name w:val="Estilo1"/>
    <w:basedOn w:val="Normal"/>
    <w:qFormat/>
    <w:rsid w:val="009F382E"/>
    <w:pPr>
      <w:numPr>
        <w:numId w:val="19"/>
      </w:numPr>
      <w:spacing w:before="120" w:after="120" w:line="360" w:lineRule="auto"/>
      <w:jc w:val="both"/>
    </w:pPr>
    <w:rPr>
      <w:rFonts w:ascii="Arial" w:hAnsi="Arial" w:cs="Arial"/>
      <w:b/>
      <w:bCs/>
      <w:color w:val="002060"/>
    </w:rPr>
  </w:style>
  <w:style w:type="character" w:customStyle="1" w:styleId="Ttulo2Car">
    <w:name w:val="Título 2 Car"/>
    <w:basedOn w:val="Fuentedeprrafopredeter"/>
    <w:link w:val="Ttulo2"/>
    <w:uiPriority w:val="9"/>
    <w:semiHidden/>
    <w:rsid w:val="009F382E"/>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9F382E"/>
    <w:rPr>
      <w:rFonts w:asciiTheme="majorHAnsi" w:eastAsiaTheme="majorEastAsia" w:hAnsiTheme="majorHAnsi" w:cstheme="majorBidi"/>
      <w:i/>
      <w:iCs/>
      <w:color w:val="2F5496" w:themeColor="accent1" w:themeShade="BF"/>
    </w:rPr>
  </w:style>
  <w:style w:type="character" w:customStyle="1" w:styleId="Ttulo6Car">
    <w:name w:val="Título 6 Car"/>
    <w:basedOn w:val="Fuentedeprrafopredeter"/>
    <w:link w:val="Ttulo6"/>
    <w:uiPriority w:val="9"/>
    <w:semiHidden/>
    <w:rsid w:val="009F382E"/>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9F382E"/>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9F382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F382E"/>
    <w:rPr>
      <w:rFonts w:asciiTheme="majorHAnsi" w:eastAsiaTheme="majorEastAsia" w:hAnsiTheme="majorHAnsi" w:cstheme="majorBidi"/>
      <w:i/>
      <w:iCs/>
      <w:color w:val="272727" w:themeColor="text1" w:themeTint="D8"/>
      <w:sz w:val="21"/>
      <w:szCs w:val="21"/>
    </w:rPr>
  </w:style>
  <w:style w:type="character" w:customStyle="1" w:styleId="Ttulo1Car">
    <w:name w:val="Título 1 Car"/>
    <w:basedOn w:val="Fuentedeprrafopredeter"/>
    <w:link w:val="Ttulo1"/>
    <w:uiPriority w:val="9"/>
    <w:rsid w:val="0014612B"/>
    <w:rPr>
      <w:rFonts w:asciiTheme="majorHAnsi" w:eastAsiaTheme="majorEastAsia" w:hAnsiTheme="majorHAnsi" w:cstheme="majorBidi"/>
      <w:color w:val="2F5496" w:themeColor="accent1" w:themeShade="BF"/>
      <w:sz w:val="32"/>
      <w:szCs w:val="32"/>
    </w:rPr>
  </w:style>
  <w:style w:type="paragraph" w:styleId="TDC1">
    <w:name w:val="toc 1"/>
    <w:basedOn w:val="Normal"/>
    <w:next w:val="Normal"/>
    <w:autoRedefine/>
    <w:uiPriority w:val="39"/>
    <w:unhideWhenUsed/>
    <w:rsid w:val="0014612B"/>
    <w:pPr>
      <w:spacing w:after="100"/>
    </w:pPr>
  </w:style>
  <w:style w:type="character" w:styleId="Hipervnculo">
    <w:name w:val="Hyperlink"/>
    <w:basedOn w:val="Fuentedeprrafopredeter"/>
    <w:uiPriority w:val="99"/>
    <w:unhideWhenUsed/>
    <w:rsid w:val="001461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578844">
      <w:bodyDiv w:val="1"/>
      <w:marLeft w:val="0"/>
      <w:marRight w:val="0"/>
      <w:marTop w:val="0"/>
      <w:marBottom w:val="0"/>
      <w:divBdr>
        <w:top w:val="none" w:sz="0" w:space="0" w:color="auto"/>
        <w:left w:val="none" w:sz="0" w:space="0" w:color="auto"/>
        <w:bottom w:val="none" w:sz="0" w:space="0" w:color="auto"/>
        <w:right w:val="none" w:sz="0" w:space="0" w:color="auto"/>
      </w:divBdr>
    </w:div>
    <w:div w:id="590237432">
      <w:bodyDiv w:val="1"/>
      <w:marLeft w:val="0"/>
      <w:marRight w:val="0"/>
      <w:marTop w:val="0"/>
      <w:marBottom w:val="0"/>
      <w:divBdr>
        <w:top w:val="none" w:sz="0" w:space="0" w:color="auto"/>
        <w:left w:val="none" w:sz="0" w:space="0" w:color="auto"/>
        <w:bottom w:val="none" w:sz="0" w:space="0" w:color="auto"/>
        <w:right w:val="none" w:sz="0" w:space="0" w:color="auto"/>
      </w:divBdr>
      <w:divsChild>
        <w:div w:id="1294826422">
          <w:marLeft w:val="0"/>
          <w:marRight w:val="0"/>
          <w:marTop w:val="0"/>
          <w:marBottom w:val="0"/>
          <w:divBdr>
            <w:top w:val="none" w:sz="0" w:space="0" w:color="auto"/>
            <w:left w:val="none" w:sz="0" w:space="0" w:color="auto"/>
            <w:bottom w:val="none" w:sz="0" w:space="0" w:color="auto"/>
            <w:right w:val="none" w:sz="0" w:space="0" w:color="auto"/>
          </w:divBdr>
          <w:divsChild>
            <w:div w:id="1064065559">
              <w:marLeft w:val="0"/>
              <w:marRight w:val="0"/>
              <w:marTop w:val="0"/>
              <w:marBottom w:val="0"/>
              <w:divBdr>
                <w:top w:val="none" w:sz="0" w:space="0" w:color="auto"/>
                <w:left w:val="none" w:sz="0" w:space="0" w:color="auto"/>
                <w:bottom w:val="none" w:sz="0" w:space="0" w:color="auto"/>
                <w:right w:val="none" w:sz="0" w:space="0" w:color="auto"/>
              </w:divBdr>
              <w:divsChild>
                <w:div w:id="1396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1336">
      <w:bodyDiv w:val="1"/>
      <w:marLeft w:val="0"/>
      <w:marRight w:val="0"/>
      <w:marTop w:val="0"/>
      <w:marBottom w:val="0"/>
      <w:divBdr>
        <w:top w:val="none" w:sz="0" w:space="0" w:color="auto"/>
        <w:left w:val="none" w:sz="0" w:space="0" w:color="auto"/>
        <w:bottom w:val="none" w:sz="0" w:space="0" w:color="auto"/>
        <w:right w:val="none" w:sz="0" w:space="0" w:color="auto"/>
      </w:divBdr>
      <w:divsChild>
        <w:div w:id="1130319315">
          <w:marLeft w:val="0"/>
          <w:marRight w:val="0"/>
          <w:marTop w:val="0"/>
          <w:marBottom w:val="0"/>
          <w:divBdr>
            <w:top w:val="none" w:sz="0" w:space="0" w:color="auto"/>
            <w:left w:val="none" w:sz="0" w:space="0" w:color="auto"/>
            <w:bottom w:val="none" w:sz="0" w:space="0" w:color="auto"/>
            <w:right w:val="none" w:sz="0" w:space="0" w:color="auto"/>
          </w:divBdr>
          <w:divsChild>
            <w:div w:id="2121870571">
              <w:marLeft w:val="0"/>
              <w:marRight w:val="0"/>
              <w:marTop w:val="0"/>
              <w:marBottom w:val="0"/>
              <w:divBdr>
                <w:top w:val="none" w:sz="0" w:space="0" w:color="auto"/>
                <w:left w:val="none" w:sz="0" w:space="0" w:color="auto"/>
                <w:bottom w:val="none" w:sz="0" w:space="0" w:color="auto"/>
                <w:right w:val="none" w:sz="0" w:space="0" w:color="auto"/>
              </w:divBdr>
            </w:div>
            <w:div w:id="182287888">
              <w:marLeft w:val="0"/>
              <w:marRight w:val="0"/>
              <w:marTop w:val="0"/>
              <w:marBottom w:val="0"/>
              <w:divBdr>
                <w:top w:val="none" w:sz="0" w:space="0" w:color="auto"/>
                <w:left w:val="none" w:sz="0" w:space="0" w:color="auto"/>
                <w:bottom w:val="none" w:sz="0" w:space="0" w:color="auto"/>
                <w:right w:val="none" w:sz="0" w:space="0" w:color="auto"/>
              </w:divBdr>
            </w:div>
            <w:div w:id="635646637">
              <w:marLeft w:val="0"/>
              <w:marRight w:val="0"/>
              <w:marTop w:val="0"/>
              <w:marBottom w:val="0"/>
              <w:divBdr>
                <w:top w:val="none" w:sz="0" w:space="0" w:color="auto"/>
                <w:left w:val="none" w:sz="0" w:space="0" w:color="auto"/>
                <w:bottom w:val="none" w:sz="0" w:space="0" w:color="auto"/>
                <w:right w:val="none" w:sz="0" w:space="0" w:color="auto"/>
              </w:divBdr>
            </w:div>
            <w:div w:id="4813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8392">
      <w:bodyDiv w:val="1"/>
      <w:marLeft w:val="0"/>
      <w:marRight w:val="0"/>
      <w:marTop w:val="0"/>
      <w:marBottom w:val="0"/>
      <w:divBdr>
        <w:top w:val="none" w:sz="0" w:space="0" w:color="auto"/>
        <w:left w:val="none" w:sz="0" w:space="0" w:color="auto"/>
        <w:bottom w:val="none" w:sz="0" w:space="0" w:color="auto"/>
        <w:right w:val="none" w:sz="0" w:space="0" w:color="auto"/>
      </w:divBdr>
    </w:div>
    <w:div w:id="913247507">
      <w:bodyDiv w:val="1"/>
      <w:marLeft w:val="0"/>
      <w:marRight w:val="0"/>
      <w:marTop w:val="0"/>
      <w:marBottom w:val="0"/>
      <w:divBdr>
        <w:top w:val="none" w:sz="0" w:space="0" w:color="auto"/>
        <w:left w:val="none" w:sz="0" w:space="0" w:color="auto"/>
        <w:bottom w:val="none" w:sz="0" w:space="0" w:color="auto"/>
        <w:right w:val="none" w:sz="0" w:space="0" w:color="auto"/>
      </w:divBdr>
    </w:div>
    <w:div w:id="1039162841">
      <w:bodyDiv w:val="1"/>
      <w:marLeft w:val="0"/>
      <w:marRight w:val="0"/>
      <w:marTop w:val="0"/>
      <w:marBottom w:val="0"/>
      <w:divBdr>
        <w:top w:val="none" w:sz="0" w:space="0" w:color="auto"/>
        <w:left w:val="none" w:sz="0" w:space="0" w:color="auto"/>
        <w:bottom w:val="none" w:sz="0" w:space="0" w:color="auto"/>
        <w:right w:val="none" w:sz="0" w:space="0" w:color="auto"/>
      </w:divBdr>
    </w:div>
    <w:div w:id="1082412377">
      <w:bodyDiv w:val="1"/>
      <w:marLeft w:val="0"/>
      <w:marRight w:val="0"/>
      <w:marTop w:val="0"/>
      <w:marBottom w:val="0"/>
      <w:divBdr>
        <w:top w:val="none" w:sz="0" w:space="0" w:color="auto"/>
        <w:left w:val="none" w:sz="0" w:space="0" w:color="auto"/>
        <w:bottom w:val="none" w:sz="0" w:space="0" w:color="auto"/>
        <w:right w:val="none" w:sz="0" w:space="0" w:color="auto"/>
      </w:divBdr>
      <w:divsChild>
        <w:div w:id="132144103">
          <w:marLeft w:val="0"/>
          <w:marRight w:val="0"/>
          <w:marTop w:val="0"/>
          <w:marBottom w:val="0"/>
          <w:divBdr>
            <w:top w:val="none" w:sz="0" w:space="0" w:color="auto"/>
            <w:left w:val="none" w:sz="0" w:space="0" w:color="auto"/>
            <w:bottom w:val="none" w:sz="0" w:space="0" w:color="auto"/>
            <w:right w:val="none" w:sz="0" w:space="0" w:color="auto"/>
          </w:divBdr>
          <w:divsChild>
            <w:div w:id="1835104758">
              <w:marLeft w:val="0"/>
              <w:marRight w:val="0"/>
              <w:marTop w:val="0"/>
              <w:marBottom w:val="0"/>
              <w:divBdr>
                <w:top w:val="none" w:sz="0" w:space="0" w:color="auto"/>
                <w:left w:val="none" w:sz="0" w:space="0" w:color="auto"/>
                <w:bottom w:val="none" w:sz="0" w:space="0" w:color="auto"/>
                <w:right w:val="none" w:sz="0" w:space="0" w:color="auto"/>
              </w:divBdr>
              <w:divsChild>
                <w:div w:id="24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60822">
      <w:bodyDiv w:val="1"/>
      <w:marLeft w:val="0"/>
      <w:marRight w:val="0"/>
      <w:marTop w:val="0"/>
      <w:marBottom w:val="0"/>
      <w:divBdr>
        <w:top w:val="none" w:sz="0" w:space="0" w:color="auto"/>
        <w:left w:val="none" w:sz="0" w:space="0" w:color="auto"/>
        <w:bottom w:val="none" w:sz="0" w:space="0" w:color="auto"/>
        <w:right w:val="none" w:sz="0" w:space="0" w:color="auto"/>
      </w:divBdr>
      <w:divsChild>
        <w:div w:id="581136567">
          <w:marLeft w:val="0"/>
          <w:marRight w:val="0"/>
          <w:marTop w:val="0"/>
          <w:marBottom w:val="0"/>
          <w:divBdr>
            <w:top w:val="none" w:sz="0" w:space="0" w:color="auto"/>
            <w:left w:val="none" w:sz="0" w:space="0" w:color="auto"/>
            <w:bottom w:val="none" w:sz="0" w:space="0" w:color="auto"/>
            <w:right w:val="none" w:sz="0" w:space="0" w:color="auto"/>
          </w:divBdr>
          <w:divsChild>
            <w:div w:id="1737706218">
              <w:marLeft w:val="0"/>
              <w:marRight w:val="0"/>
              <w:marTop w:val="0"/>
              <w:marBottom w:val="0"/>
              <w:divBdr>
                <w:top w:val="none" w:sz="0" w:space="0" w:color="auto"/>
                <w:left w:val="none" w:sz="0" w:space="0" w:color="auto"/>
                <w:bottom w:val="none" w:sz="0" w:space="0" w:color="auto"/>
                <w:right w:val="none" w:sz="0" w:space="0" w:color="auto"/>
              </w:divBdr>
              <w:divsChild>
                <w:div w:id="14102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2402">
      <w:bodyDiv w:val="1"/>
      <w:marLeft w:val="0"/>
      <w:marRight w:val="0"/>
      <w:marTop w:val="0"/>
      <w:marBottom w:val="0"/>
      <w:divBdr>
        <w:top w:val="none" w:sz="0" w:space="0" w:color="auto"/>
        <w:left w:val="none" w:sz="0" w:space="0" w:color="auto"/>
        <w:bottom w:val="none" w:sz="0" w:space="0" w:color="auto"/>
        <w:right w:val="none" w:sz="0" w:space="0" w:color="auto"/>
      </w:divBdr>
      <w:divsChild>
        <w:div w:id="743723796">
          <w:marLeft w:val="0"/>
          <w:marRight w:val="0"/>
          <w:marTop w:val="0"/>
          <w:marBottom w:val="0"/>
          <w:divBdr>
            <w:top w:val="none" w:sz="0" w:space="0" w:color="auto"/>
            <w:left w:val="none" w:sz="0" w:space="0" w:color="auto"/>
            <w:bottom w:val="none" w:sz="0" w:space="0" w:color="auto"/>
            <w:right w:val="none" w:sz="0" w:space="0" w:color="auto"/>
          </w:divBdr>
          <w:divsChild>
            <w:div w:id="2026127167">
              <w:marLeft w:val="0"/>
              <w:marRight w:val="0"/>
              <w:marTop w:val="0"/>
              <w:marBottom w:val="0"/>
              <w:divBdr>
                <w:top w:val="none" w:sz="0" w:space="0" w:color="auto"/>
                <w:left w:val="none" w:sz="0" w:space="0" w:color="auto"/>
                <w:bottom w:val="none" w:sz="0" w:space="0" w:color="auto"/>
                <w:right w:val="none" w:sz="0" w:space="0" w:color="auto"/>
              </w:divBdr>
            </w:div>
            <w:div w:id="287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7247">
      <w:bodyDiv w:val="1"/>
      <w:marLeft w:val="0"/>
      <w:marRight w:val="0"/>
      <w:marTop w:val="0"/>
      <w:marBottom w:val="0"/>
      <w:divBdr>
        <w:top w:val="none" w:sz="0" w:space="0" w:color="auto"/>
        <w:left w:val="none" w:sz="0" w:space="0" w:color="auto"/>
        <w:bottom w:val="none" w:sz="0" w:space="0" w:color="auto"/>
        <w:right w:val="none" w:sz="0" w:space="0" w:color="auto"/>
      </w:divBdr>
      <w:divsChild>
        <w:div w:id="1011181804">
          <w:marLeft w:val="0"/>
          <w:marRight w:val="0"/>
          <w:marTop w:val="0"/>
          <w:marBottom w:val="0"/>
          <w:divBdr>
            <w:top w:val="none" w:sz="0" w:space="0" w:color="auto"/>
            <w:left w:val="none" w:sz="0" w:space="0" w:color="auto"/>
            <w:bottom w:val="none" w:sz="0" w:space="0" w:color="auto"/>
            <w:right w:val="none" w:sz="0" w:space="0" w:color="auto"/>
          </w:divBdr>
          <w:divsChild>
            <w:div w:id="712193156">
              <w:marLeft w:val="0"/>
              <w:marRight w:val="0"/>
              <w:marTop w:val="0"/>
              <w:marBottom w:val="0"/>
              <w:divBdr>
                <w:top w:val="none" w:sz="0" w:space="0" w:color="auto"/>
                <w:left w:val="none" w:sz="0" w:space="0" w:color="auto"/>
                <w:bottom w:val="none" w:sz="0" w:space="0" w:color="auto"/>
                <w:right w:val="none" w:sz="0" w:space="0" w:color="auto"/>
              </w:divBdr>
              <w:divsChild>
                <w:div w:id="4569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7272">
      <w:bodyDiv w:val="1"/>
      <w:marLeft w:val="0"/>
      <w:marRight w:val="0"/>
      <w:marTop w:val="0"/>
      <w:marBottom w:val="0"/>
      <w:divBdr>
        <w:top w:val="none" w:sz="0" w:space="0" w:color="auto"/>
        <w:left w:val="none" w:sz="0" w:space="0" w:color="auto"/>
        <w:bottom w:val="none" w:sz="0" w:space="0" w:color="auto"/>
        <w:right w:val="none" w:sz="0" w:space="0" w:color="auto"/>
      </w:divBdr>
    </w:div>
    <w:div w:id="1801991683">
      <w:bodyDiv w:val="1"/>
      <w:marLeft w:val="0"/>
      <w:marRight w:val="0"/>
      <w:marTop w:val="0"/>
      <w:marBottom w:val="0"/>
      <w:divBdr>
        <w:top w:val="none" w:sz="0" w:space="0" w:color="auto"/>
        <w:left w:val="none" w:sz="0" w:space="0" w:color="auto"/>
        <w:bottom w:val="none" w:sz="0" w:space="0" w:color="auto"/>
        <w:right w:val="none" w:sz="0" w:space="0" w:color="auto"/>
      </w:divBdr>
    </w:div>
    <w:div w:id="1889029790">
      <w:bodyDiv w:val="1"/>
      <w:marLeft w:val="0"/>
      <w:marRight w:val="0"/>
      <w:marTop w:val="0"/>
      <w:marBottom w:val="0"/>
      <w:divBdr>
        <w:top w:val="none" w:sz="0" w:space="0" w:color="auto"/>
        <w:left w:val="none" w:sz="0" w:space="0" w:color="auto"/>
        <w:bottom w:val="none" w:sz="0" w:space="0" w:color="auto"/>
        <w:right w:val="none" w:sz="0" w:space="0" w:color="auto"/>
      </w:divBdr>
    </w:div>
    <w:div w:id="189963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82530DCA0424783C54A3EA31DC4FE" ma:contentTypeVersion="4" ma:contentTypeDescription="Create a new document." ma:contentTypeScope="" ma:versionID="5b7cf88ac8b27ed392c739010b186b0c">
  <xsd:schema xmlns:xsd="http://www.w3.org/2001/XMLSchema" xmlns:xs="http://www.w3.org/2001/XMLSchema" xmlns:p="http://schemas.microsoft.com/office/2006/metadata/properties" xmlns:ns2="75e9cf22-16a3-4c78-9841-16e03893b3b3" targetNamespace="http://schemas.microsoft.com/office/2006/metadata/properties" ma:root="true" ma:fieldsID="0047533b005dc91d67a48335b2be6bda" ns2:_="">
    <xsd:import namespace="75e9cf22-16a3-4c78-9841-16e03893b3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9cf22-16a3-4c78-9841-16e03893b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52EC-48A6-471C-AF29-A63A48005C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78F38F-D193-40C1-94DA-B3DA6B9141A5}">
  <ds:schemaRefs>
    <ds:schemaRef ds:uri="http://schemas.microsoft.com/sharepoint/v3/contenttype/forms"/>
  </ds:schemaRefs>
</ds:datastoreItem>
</file>

<file path=customXml/itemProps3.xml><?xml version="1.0" encoding="utf-8"?>
<ds:datastoreItem xmlns:ds="http://schemas.openxmlformats.org/officeDocument/2006/customXml" ds:itemID="{7B2EC28B-3BE5-4B1C-A5E1-34357B1B0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9cf22-16a3-4c78-9841-16e03893b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CEA90-D8E1-5D4E-9409-85ECE85F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4625</Words>
  <Characters>25442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Romàn Gomez-Ponti</dc:creator>
  <cp:keywords/>
  <dc:description/>
  <cp:lastModifiedBy>Microsoft Office User</cp:lastModifiedBy>
  <cp:revision>22</cp:revision>
  <cp:lastPrinted>2023-06-23T10:00:00Z</cp:lastPrinted>
  <dcterms:created xsi:type="dcterms:W3CDTF">2025-03-04T17:51:00Z</dcterms:created>
  <dcterms:modified xsi:type="dcterms:W3CDTF">2025-06-13T10:27:00Z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2024-12-20T10:51:35Z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78f3a279-48c8-4670-9162-a63c451c9fae</vt:lpwstr>
  </property>
  <property fmtid="{D5CDD505-2E9C-101B-9397-08002B2CF9AE}" pid="7" name="MSIP_Label_defa4170-0d19-0005-0004-bc88714345d2_ActionId">
    <vt:lpwstr>a2512a01-9f1d-4111-bab6-49a7c02fdaf1</vt:lpwstr>
  </property>
  <property fmtid="{D5CDD505-2E9C-101B-9397-08002B2CF9AE}" pid="8" name="MSIP_Label_defa4170-0d19-0005-0004-bc88714345d2_ContentBits">
    <vt:lpwstr>0</vt:lpwstr>
  </property>
  <property fmtid="{D5CDD505-2E9C-101B-9397-08002B2CF9AE}" pid="9" name="ContentTypeId">
    <vt:lpwstr>0x0101006A982530DCA0424783C54A3EA31DC4FE</vt:lpwstr>
  </property>
  <property fmtid="{D5CDD505-2E9C-101B-9397-08002B2CF9AE}" pid="10" name="MSIP_Label_11db87c7-a2ca-4484-8eb8-6f7c884911fa_Enabled">
    <vt:lpwstr>true</vt:lpwstr>
  </property>
  <property fmtid="{D5CDD505-2E9C-101B-9397-08002B2CF9AE}" pid="11" name="MSIP_Label_11db87c7-a2ca-4484-8eb8-6f7c884911fa_SetDate">
    <vt:lpwstr>2025-02-10T13:04:59Z</vt:lpwstr>
  </property>
  <property fmtid="{D5CDD505-2E9C-101B-9397-08002B2CF9AE}" pid="12" name="MSIP_Label_11db87c7-a2ca-4484-8eb8-6f7c884911fa_Method">
    <vt:lpwstr>Standard</vt:lpwstr>
  </property>
  <property fmtid="{D5CDD505-2E9C-101B-9397-08002B2CF9AE}" pid="13" name="MSIP_Label_11db87c7-a2ca-4484-8eb8-6f7c884911fa_Name">
    <vt:lpwstr>defa4170-0d19-0005-0004-bc88714345d2</vt:lpwstr>
  </property>
  <property fmtid="{D5CDD505-2E9C-101B-9397-08002B2CF9AE}" pid="14" name="MSIP_Label_11db87c7-a2ca-4484-8eb8-6f7c884911fa_SiteId">
    <vt:lpwstr>8344d72d-e21b-485a-b9a1-52078e79010e</vt:lpwstr>
  </property>
  <property fmtid="{D5CDD505-2E9C-101B-9397-08002B2CF9AE}" pid="15" name="MSIP_Label_11db87c7-a2ca-4484-8eb8-6f7c884911fa_ActionId">
    <vt:lpwstr>8fa0f93e-a364-4149-af1d-d8444a489906</vt:lpwstr>
  </property>
  <property fmtid="{D5CDD505-2E9C-101B-9397-08002B2CF9AE}" pid="16" name="MSIP_Label_11db87c7-a2ca-4484-8eb8-6f7c884911fa_ContentBits">
    <vt:lpwstr>0</vt:lpwstr>
  </property>
  <property fmtid="{D5CDD505-2E9C-101B-9397-08002B2CF9AE}" pid="17" name="MSIP_Label_11db87c7-a2ca-4484-8eb8-6f7c884911fa_Tag">
    <vt:lpwstr>50, 3, 0, 1</vt:lpwstr>
  </property>
</Properties>
</file>